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6491</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overflowPunct w:val="0"/>
        <w:autoSpaceDE w:val="0"/>
        <w:autoSpaceDN w:val="0"/>
        <w:adjustRightInd w:val="0"/>
        <w:snapToGrid w:val="0"/>
        <w:spacing w:line="240" w:lineRule="auto"/>
        <w:jc w:val="left"/>
        <w:textAlignment w:val="baseline"/>
        <w:rPr>
          <w:rFonts w:ascii="Arial" w:hAnsi="Arial" w:eastAsia="宋体"/>
          <w:b/>
          <w:bCs/>
          <w:sz w:val="24"/>
          <w:lang w:val="en-GB"/>
        </w:rPr>
      </w:pP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Height-dependent measurement configuration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0" w:line="240" w:lineRule="auto"/>
        <w:rPr>
          <w:szCs w:val="21"/>
        </w:rPr>
      </w:pPr>
      <w:r>
        <w:rPr>
          <w:rFonts w:hint="eastAsia"/>
          <w:szCs w:val="21"/>
        </w:rPr>
        <w:t>In RAN2#121</w:t>
      </w:r>
      <w:r>
        <w:rPr>
          <w:rFonts w:hint="eastAsia"/>
          <w:szCs w:val="21"/>
          <w:lang w:val="en-US" w:eastAsia="zh-CN"/>
        </w:rPr>
        <w:t>bis-e</w:t>
      </w:r>
      <w:r>
        <w:rPr>
          <w:rFonts w:hint="eastAsia"/>
          <w:szCs w:val="21"/>
        </w:rPr>
        <w:t xml:space="preserve"> </w:t>
      </w:r>
      <w:r>
        <w:rPr>
          <w:szCs w:val="21"/>
        </w:rPr>
        <w:t>meeting [</w:t>
      </w:r>
      <w:r>
        <w:rPr>
          <w:rFonts w:hint="eastAsia"/>
          <w:szCs w:val="21"/>
        </w:rPr>
        <w:t xml:space="preserve">1], following agreements were reached related to </w:t>
      </w:r>
      <w:r>
        <w:rPr>
          <w:rFonts w:hint="eastAsia"/>
          <w:szCs w:val="21"/>
          <w:lang w:val="en-US" w:eastAsia="zh-CN"/>
        </w:rPr>
        <w:t>height-dependent measurement configuration</w:t>
      </w:r>
      <w:r>
        <w:rPr>
          <w:rFonts w:hint="eastAsia"/>
          <w:szCs w:val="21"/>
        </w:rPr>
        <w:t>.</w:t>
      </w:r>
    </w:p>
    <w:p>
      <w:pPr>
        <w:pStyle w:val="68"/>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b/>
          <w:bCs/>
          <w:sz w:val="21"/>
          <w:szCs w:val="21"/>
        </w:rPr>
      </w:pPr>
      <w:bookmarkStart w:id="2" w:name="OLE_LINK1"/>
      <w:r>
        <w:rPr>
          <w:rFonts w:ascii="Times New Roman" w:hAnsi="Times New Roman"/>
          <w:b/>
          <w:bCs/>
          <w:sz w:val="21"/>
          <w:szCs w:val="21"/>
        </w:rPr>
        <w:t>Agreements</w:t>
      </w:r>
    </w:p>
    <w:p>
      <w:pPr>
        <w:pStyle w:val="68"/>
        <w:numPr>
          <w:ilvl w:val="0"/>
          <w:numId w:val="4"/>
        </w:numPr>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sz w:val="21"/>
          <w:szCs w:val="21"/>
        </w:rPr>
      </w:pPr>
      <w:r>
        <w:rPr>
          <w:rFonts w:ascii="Times New Roman" w:hAnsi="Times New Roman"/>
          <w:sz w:val="21"/>
          <w:szCs w:val="21"/>
        </w:rPr>
        <w:t>Height-dependent more-than-one configurations is supported on parameter/field level (i.e. different fields/values within the same MO) where different values (or value ranges) of the parameter/field applies to different height or height range.</w:t>
      </w:r>
    </w:p>
    <w:p>
      <w:pPr>
        <w:pStyle w:val="68"/>
        <w:numPr>
          <w:ilvl w:val="0"/>
          <w:numId w:val="4"/>
        </w:numPr>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sz w:val="21"/>
          <w:szCs w:val="21"/>
        </w:rPr>
      </w:pPr>
      <w:r>
        <w:rPr>
          <w:rFonts w:ascii="Times New Roman" w:hAnsi="Times New Roman"/>
          <w:sz w:val="21"/>
          <w:szCs w:val="21"/>
        </w:rPr>
        <w:t xml:space="preserve">For MO configuration parameters: at least the following will have ability to be configured with height-dependent more-than-one configurations/values, each for a specific height region: SSB-ToMeasure. </w:t>
      </w:r>
      <w:r>
        <w:rPr>
          <w:rFonts w:ascii="Times New Roman" w:hAnsi="Times New Roman"/>
          <w:sz w:val="21"/>
          <w:szCs w:val="21"/>
          <w:highlight w:val="cyan"/>
        </w:rPr>
        <w:t>Details on how to specify is FFS.    FFS on UE behavior on L1 and L3 measurement.</w:t>
      </w:r>
    </w:p>
    <w:p>
      <w:pPr>
        <w:pStyle w:val="68"/>
        <w:numPr>
          <w:ilvl w:val="0"/>
          <w:numId w:val="4"/>
        </w:numPr>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iCs/>
          <w:sz w:val="21"/>
          <w:szCs w:val="21"/>
        </w:rPr>
      </w:pPr>
      <w:bookmarkStart w:id="3" w:name="_Hlk134480185"/>
      <w:bookmarkStart w:id="4" w:name="_Hlk134480208"/>
      <w:r>
        <w:rPr>
          <w:rFonts w:ascii="Times New Roman" w:hAnsi="Times New Roman"/>
          <w:sz w:val="21"/>
          <w:szCs w:val="21"/>
        </w:rPr>
        <w:t xml:space="preserve"> For MR configuration parameters: at least the following will have ability to be configured with height-dependent more-than-one configurations/values, each for a specific height region: Event A4 threshold and numberoftriggeringcells.</w:t>
      </w:r>
      <w:r>
        <w:rPr>
          <w:rFonts w:ascii="Times New Roman" w:hAnsi="Times New Roman"/>
          <w:iCs/>
          <w:sz w:val="21"/>
          <w:szCs w:val="21"/>
        </w:rPr>
        <w:t xml:space="preserve">  </w:t>
      </w:r>
      <w:r>
        <w:rPr>
          <w:rFonts w:ascii="Times New Roman" w:hAnsi="Times New Roman"/>
          <w:iCs/>
          <w:sz w:val="21"/>
          <w:szCs w:val="21"/>
          <w:highlight w:val="cyan"/>
        </w:rPr>
        <w:t>Details on how to specify is FFS (i.e. maybe it can be achieved by combination of events).</w:t>
      </w:r>
      <w:bookmarkEnd w:id="3"/>
      <w:r>
        <w:rPr>
          <w:rFonts w:ascii="Times New Roman" w:hAnsi="Times New Roman"/>
          <w:iCs/>
          <w:sz w:val="21"/>
          <w:szCs w:val="21"/>
        </w:rPr>
        <w:t xml:space="preserve"> </w:t>
      </w:r>
      <w:bookmarkEnd w:id="4"/>
      <w:r>
        <w:rPr>
          <w:rFonts w:ascii="Times New Roman" w:hAnsi="Times New Roman"/>
          <w:iCs/>
          <w:sz w:val="21"/>
          <w:szCs w:val="21"/>
        </w:rPr>
        <w:t xml:space="preserve">  </w:t>
      </w:r>
    </w:p>
    <w:p>
      <w:pPr>
        <w:pStyle w:val="68"/>
        <w:numPr>
          <w:ilvl w:val="0"/>
          <w:numId w:val="4"/>
        </w:numPr>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sz w:val="21"/>
          <w:szCs w:val="21"/>
        </w:rPr>
      </w:pPr>
      <w:r>
        <w:rPr>
          <w:rFonts w:ascii="Times New Roman" w:hAnsi="Times New Roman"/>
          <w:sz w:val="21"/>
          <w:szCs w:val="21"/>
        </w:rPr>
        <w:t xml:space="preserve">When height-dependent more-than-one configurations are provided, UE applies the new value once it moves to new height (or height range) </w:t>
      </w:r>
      <w:r>
        <w:rPr>
          <w:rFonts w:ascii="Times New Roman" w:hAnsi="Times New Roman"/>
          <w:sz w:val="21"/>
          <w:szCs w:val="21"/>
          <w:highlight w:val="yellow"/>
        </w:rPr>
        <w:t>similar to the case of RRC reconfiguration</w:t>
      </w:r>
      <w:r>
        <w:rPr>
          <w:rFonts w:ascii="Times New Roman" w:hAnsi="Times New Roman"/>
          <w:sz w:val="21"/>
          <w:szCs w:val="21"/>
        </w:rPr>
        <w:t>. Need Codes, field descriptions, etc. as in legacy specifications apply</w:t>
      </w:r>
    </w:p>
    <w:p>
      <w:pPr>
        <w:pStyle w:val="68"/>
        <w:numPr>
          <w:ilvl w:val="0"/>
          <w:numId w:val="4"/>
        </w:numPr>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sz w:val="21"/>
          <w:szCs w:val="21"/>
        </w:rPr>
      </w:pPr>
      <w:r>
        <w:rPr>
          <w:rFonts w:ascii="Times New Roman" w:hAnsi="Times New Roman"/>
          <w:sz w:val="21"/>
          <w:szCs w:val="21"/>
        </w:rPr>
        <w:t xml:space="preserve">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w:t>
      </w:r>
      <w:r>
        <w:rPr>
          <w:rFonts w:ascii="Times New Roman" w:hAnsi="Times New Roman"/>
          <w:sz w:val="21"/>
          <w:szCs w:val="21"/>
          <w:highlight w:val="cyan"/>
        </w:rPr>
        <w:t>FFS details</w:t>
      </w:r>
    </w:p>
    <w:p>
      <w:pPr>
        <w:spacing w:after="0" w:line="240" w:lineRule="auto"/>
        <w:rPr>
          <w:szCs w:val="21"/>
        </w:rPr>
      </w:pPr>
      <w:r>
        <w:rPr>
          <w:rFonts w:hint="eastAsia"/>
          <w:szCs w:val="21"/>
        </w:rPr>
        <w:t xml:space="preserve">There are still some FFS issues as highlighted above. </w:t>
      </w:r>
      <w:r>
        <w:rPr>
          <w:szCs w:val="21"/>
        </w:rPr>
        <w:t>T</w:t>
      </w:r>
      <w:r>
        <w:rPr>
          <w:rFonts w:hint="eastAsia"/>
          <w:szCs w:val="21"/>
        </w:rPr>
        <w:t>his contribution</w:t>
      </w:r>
      <w:r>
        <w:rPr>
          <w:szCs w:val="21"/>
        </w:rPr>
        <w:t xml:space="preserve"> </w:t>
      </w:r>
      <w:r>
        <w:rPr>
          <w:rFonts w:hint="eastAsia"/>
          <w:szCs w:val="21"/>
        </w:rPr>
        <w:t>provide</w:t>
      </w:r>
      <w:r>
        <w:rPr>
          <w:szCs w:val="21"/>
        </w:rPr>
        <w:t>s</w:t>
      </w:r>
      <w:r>
        <w:rPr>
          <w:rFonts w:hint="eastAsia"/>
          <w:szCs w:val="21"/>
        </w:rPr>
        <w:t xml:space="preserve"> consideration</w:t>
      </w:r>
      <w:r>
        <w:rPr>
          <w:szCs w:val="21"/>
        </w:rPr>
        <w:t>s</w:t>
      </w:r>
      <w:r>
        <w:rPr>
          <w:rFonts w:hint="eastAsia"/>
          <w:szCs w:val="21"/>
        </w:rPr>
        <w:t xml:space="preserve"> </w:t>
      </w:r>
      <w:r>
        <w:rPr>
          <w:szCs w:val="21"/>
        </w:rPr>
        <w:t xml:space="preserve">and proposals </w:t>
      </w:r>
      <w:r>
        <w:rPr>
          <w:rFonts w:hint="eastAsia"/>
          <w:szCs w:val="21"/>
        </w:rPr>
        <w:t xml:space="preserve">on the remaining </w:t>
      </w:r>
      <w:r>
        <w:rPr>
          <w:szCs w:val="21"/>
        </w:rPr>
        <w:t>FFS issues based on the agreements reached in previous meetings.</w:t>
      </w:r>
      <w:r>
        <w:rPr>
          <w:rFonts w:hint="eastAsia"/>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pStyle w:val="3"/>
        <w:numPr>
          <w:ilvl w:val="1"/>
          <w:numId w:val="0"/>
        </w:numPr>
        <w:ind w:leftChars="0"/>
        <w:rPr>
          <w:lang w:val="en-US"/>
        </w:rPr>
      </w:pPr>
      <w:r>
        <w:rPr>
          <w:rFonts w:hint="eastAsia"/>
          <w:lang w:val="en-US"/>
        </w:rPr>
        <w:t xml:space="preserve">2.1 On height-dependent </w:t>
      </w:r>
      <w:r>
        <w:rPr>
          <w:lang w:val="en-US"/>
        </w:rPr>
        <w:t>SSB-ToMeasure</w:t>
      </w:r>
    </w:p>
    <w:p>
      <w:pPr>
        <w:snapToGrid w:val="0"/>
        <w:spacing w:after="0" w:line="240" w:lineRule="auto"/>
        <w:rPr>
          <w:rFonts w:hint="eastAsia"/>
        </w:rPr>
      </w:pPr>
      <w:r>
        <w:rPr>
          <w:rFonts w:hint="eastAsia"/>
        </w:rPr>
        <w:t>R</w:t>
      </w:r>
      <w:r>
        <w:t xml:space="preserve">AN2 agreed in last </w:t>
      </w:r>
      <w:r>
        <w:rPr>
          <w:rFonts w:hint="eastAsia"/>
        </w:rPr>
        <w:t>meeting</w:t>
      </w:r>
      <w:r>
        <w:t xml:space="preserve"> that for MO configuration parameters, SSB-ToMeasure have ability to be configured with height-dependent more-than-one values each for a specific height region:</w:t>
      </w:r>
    </w:p>
    <w:p>
      <w:pPr>
        <w:pStyle w:val="68"/>
        <w:numPr>
          <w:ilvl w:val="0"/>
          <w:numId w:val="5"/>
        </w:numPr>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sz w:val="21"/>
          <w:szCs w:val="21"/>
        </w:rPr>
      </w:pPr>
      <w:r>
        <w:rPr>
          <w:rFonts w:ascii="Times New Roman" w:hAnsi="Times New Roman"/>
          <w:sz w:val="21"/>
          <w:szCs w:val="21"/>
        </w:rPr>
        <w:t xml:space="preserve">For MO configuration parameters: at least the following will have ability to be configured with height-dependent more-than-one configurations/values, each for a specific height region: SSB-ToMeasure. </w:t>
      </w:r>
      <w:r>
        <w:rPr>
          <w:rFonts w:ascii="Times New Roman" w:hAnsi="Times New Roman"/>
          <w:sz w:val="21"/>
          <w:szCs w:val="21"/>
          <w:highlight w:val="cyan"/>
        </w:rPr>
        <w:t>Details on how to specify is FFS.    FFS on UE behavior on L1 and L3 measurement.</w:t>
      </w:r>
    </w:p>
    <w:p>
      <w:pPr>
        <w:snapToGrid w:val="0"/>
        <w:spacing w:after="0" w:line="240" w:lineRule="auto"/>
      </w:pPr>
      <w:r>
        <w:t xml:space="preserve">As to how to specify height-dependent SSB-ToMeasure, the first issue is whether more than one height-region can be configured. </w:t>
      </w:r>
      <w:r>
        <w:rPr>
          <w:rFonts w:hint="eastAsia"/>
        </w:rPr>
        <w:t xml:space="preserve">Usually maybe two regions are enough. One </w:t>
      </w:r>
      <w:r>
        <w:t xml:space="preserve">is </w:t>
      </w:r>
      <w:r>
        <w:rPr>
          <w:rFonts w:hint="eastAsia"/>
        </w:rPr>
        <w:t>above a height</w:t>
      </w:r>
      <w:r>
        <w:t xml:space="preserve"> threshold</w:t>
      </w:r>
      <w:r>
        <w:rPr>
          <w:rFonts w:hint="eastAsia"/>
        </w:rPr>
        <w:t>, and another is below a height</w:t>
      </w:r>
      <w:r>
        <w:t xml:space="preserve"> threshold</w:t>
      </w:r>
      <w:r>
        <w:rPr>
          <w:rFonts w:hint="eastAsia"/>
        </w:rPr>
        <w:t xml:space="preserve">. However, to be more flexible and future proof, </w:t>
      </w:r>
      <w:r>
        <w:t>it is prefer</w:t>
      </w:r>
      <w:r>
        <w:rPr>
          <w:rFonts w:hint="eastAsia"/>
          <w:lang w:val="en-US" w:eastAsia="zh-CN"/>
        </w:rPr>
        <w:t>r</w:t>
      </w:r>
      <w:r>
        <w:t xml:space="preserve">ed specification can support </w:t>
      </w:r>
      <w:r>
        <w:rPr>
          <w:rFonts w:hint="eastAsia"/>
        </w:rPr>
        <w:t>more than 2 height regions.</w:t>
      </w:r>
    </w:p>
    <w:p>
      <w:pPr>
        <w:snapToGrid w:val="0"/>
        <w:spacing w:after="0" w:line="240" w:lineRule="auto"/>
      </w:pPr>
      <w:r>
        <w:t>The second issue is how to avoid ping-pong issue as raised in last RAN2 meeting. A hysteresis can be introduced to address this issue. And we think only one value is enough for all height regions.</w:t>
      </w:r>
    </w:p>
    <w:p>
      <w:pPr>
        <w:snapToGrid w:val="0"/>
        <w:spacing w:after="0" w:line="240" w:lineRule="auto"/>
      </w:pPr>
      <w:r>
        <w:t>The third issue is whether delta configuration is support. It is beneficial for reducing signaling size when UAV UE moves between cells if neighboring cells have similar height-dependent SSB-ToMeasure configuration.</w:t>
      </w:r>
    </w:p>
    <w:p>
      <w:pPr>
        <w:snapToGrid w:val="0"/>
        <w:spacing w:after="0" w:line="240" w:lineRule="auto"/>
      </w:pPr>
      <w:r>
        <w:t>The fourth issue is how to ensure there is no overlapping height-regions to avoid confusion in UE side. One possible way is let to network configuration. However, we think it is also possible to ensure this by the definition of height-region. The details can be left to stage 3.</w:t>
      </w:r>
    </w:p>
    <w:p>
      <w:pPr>
        <w:spacing w:after="0" w:line="240" w:lineRule="auto"/>
        <w:ind w:left="1069" w:hanging="1069" w:hangingChars="507"/>
        <w:jc w:val="left"/>
        <w:rPr>
          <w:b/>
          <w:bCs/>
          <w:szCs w:val="21"/>
        </w:rPr>
      </w:pPr>
      <w:r>
        <w:rPr>
          <w:b/>
          <w:bCs/>
          <w:szCs w:val="21"/>
        </w:rPr>
        <w:t xml:space="preserve">Proposal </w:t>
      </w:r>
      <w:r>
        <w:rPr>
          <w:rFonts w:hint="eastAsia"/>
          <w:b/>
          <w:bCs/>
          <w:szCs w:val="21"/>
          <w:lang w:val="en-US" w:eastAsia="zh-CN"/>
        </w:rPr>
        <w:t>1</w:t>
      </w:r>
      <w:r>
        <w:rPr>
          <w:b/>
          <w:bCs/>
          <w:szCs w:val="21"/>
        </w:rPr>
        <w:t>: The height-dependent SSB-ToMeasure is defined by including an ToAdd</w:t>
      </w:r>
      <w:r>
        <w:rPr>
          <w:rFonts w:hint="eastAsia"/>
          <w:b/>
          <w:bCs/>
          <w:szCs w:val="21"/>
        </w:rPr>
        <w:t>M</w:t>
      </w:r>
      <w:r>
        <w:rPr>
          <w:b/>
          <w:bCs/>
          <w:szCs w:val="21"/>
        </w:rPr>
        <w:t xml:space="preserve">od list of non-overlapping height-regions and </w:t>
      </w:r>
      <w:r>
        <w:rPr>
          <w:rFonts w:hint="eastAsia"/>
          <w:b/>
          <w:bCs/>
          <w:szCs w:val="21"/>
          <w:lang w:eastAsia="zh-CN"/>
        </w:rPr>
        <w:t>associated</w:t>
      </w:r>
      <w:r>
        <w:rPr>
          <w:b/>
          <w:bCs/>
          <w:szCs w:val="21"/>
        </w:rPr>
        <w:t xml:space="preserve"> SSB-ToMeasure, a </w:t>
      </w:r>
      <w:r>
        <w:rPr>
          <w:rFonts w:hint="eastAsia"/>
          <w:b/>
          <w:bCs/>
          <w:szCs w:val="21"/>
        </w:rPr>
        <w:t>T</w:t>
      </w:r>
      <w:r>
        <w:rPr>
          <w:b/>
          <w:bCs/>
          <w:szCs w:val="21"/>
        </w:rPr>
        <w:t>o</w:t>
      </w:r>
      <w:r>
        <w:rPr>
          <w:rFonts w:hint="eastAsia"/>
          <w:b/>
          <w:bCs/>
          <w:szCs w:val="21"/>
        </w:rPr>
        <w:t>Remove</w:t>
      </w:r>
      <w:r>
        <w:rPr>
          <w:b/>
          <w:bCs/>
          <w:szCs w:val="21"/>
        </w:rPr>
        <w:t xml:space="preserve"> list, and a hysteresis in </w:t>
      </w:r>
      <w:r>
        <w:rPr>
          <w:b/>
          <w:bCs/>
          <w:i/>
          <w:szCs w:val="21"/>
        </w:rPr>
        <w:t>MeasObjectNR.</w:t>
      </w:r>
    </w:p>
    <w:p>
      <w:pPr>
        <w:spacing w:after="0" w:line="240" w:lineRule="auto"/>
        <w:ind w:left="1065" w:hanging="1064" w:hangingChars="507"/>
        <w:jc w:val="left"/>
        <w:rPr>
          <w:bCs/>
          <w:szCs w:val="21"/>
        </w:rPr>
      </w:pPr>
    </w:p>
    <w:p>
      <w:pPr>
        <w:spacing w:after="0" w:line="240" w:lineRule="auto"/>
      </w:pPr>
      <w:r>
        <w:rPr>
          <w:rFonts w:hint="eastAsia"/>
        </w:rPr>
        <w:t>O</w:t>
      </w:r>
      <w:r>
        <w:t>n the UE behavior when UE applies the new value once it moves to new height region, following agreem</w:t>
      </w:r>
      <w:r>
        <w:rPr>
          <w:rFonts w:hint="eastAsia"/>
          <w:lang w:val="en-US" w:eastAsia="zh-CN"/>
        </w:rPr>
        <w:t>e</w:t>
      </w:r>
      <w:r>
        <w:t>nt is reached:</w:t>
      </w:r>
    </w:p>
    <w:p>
      <w:pPr>
        <w:pStyle w:val="68"/>
        <w:numPr>
          <w:ilvl w:val="0"/>
          <w:numId w:val="5"/>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sz w:val="21"/>
          <w:szCs w:val="21"/>
        </w:rPr>
      </w:pPr>
      <w:r>
        <w:rPr>
          <w:rFonts w:ascii="Times New Roman" w:hAnsi="Times New Roman"/>
          <w:sz w:val="21"/>
          <w:szCs w:val="21"/>
        </w:rPr>
        <w:t xml:space="preserve">When height-dependent more-than-one configurations are provided, UE applies the new value once it moves to new height (or height range) </w:t>
      </w:r>
      <w:r>
        <w:rPr>
          <w:rFonts w:ascii="Times New Roman" w:hAnsi="Times New Roman"/>
          <w:sz w:val="21"/>
          <w:szCs w:val="21"/>
          <w:highlight w:val="yellow"/>
        </w:rPr>
        <w:t>similar to the case of RRC reconfiguration</w:t>
      </w:r>
      <w:r>
        <w:rPr>
          <w:rFonts w:ascii="Times New Roman" w:hAnsi="Times New Roman"/>
          <w:sz w:val="21"/>
          <w:szCs w:val="21"/>
        </w:rPr>
        <w:t>. Need Codes, field descriptions, etc. as in legacy specifications apply</w:t>
      </w:r>
    </w:p>
    <w:p>
      <w:pPr>
        <w:spacing w:after="0" w:line="240" w:lineRule="auto"/>
      </w:pPr>
      <w:r>
        <w:t>According to current specification, the reconfiguration of SSB-ToMeasure will apply following procedure[38.331]:</w:t>
      </w:r>
    </w:p>
    <w:tbl>
      <w:tblPr>
        <w:tblStyle w:val="5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tcPr>
          <w:p>
            <w:pPr>
              <w:snapToGrid w:val="0"/>
              <w:spacing w:after="0" w:line="240" w:lineRule="auto"/>
              <w:jc w:val="left"/>
              <w:rPr>
                <w:b/>
                <w:bCs/>
                <w:szCs w:val="21"/>
              </w:rPr>
            </w:pPr>
            <w:r>
              <w:rPr>
                <w:b/>
                <w:bCs/>
                <w:szCs w:val="21"/>
              </w:rPr>
              <w:t>5.5.2.5</w:t>
            </w:r>
            <w:r>
              <w:rPr>
                <w:b/>
                <w:bCs/>
                <w:szCs w:val="21"/>
              </w:rPr>
              <w:tab/>
            </w:r>
            <w:r>
              <w:rPr>
                <w:b/>
                <w:bCs/>
                <w:szCs w:val="21"/>
              </w:rPr>
              <w:t>Measurement object addition/modification</w:t>
            </w:r>
          </w:p>
          <w:p>
            <w:pPr>
              <w:widowControl/>
              <w:overflowPunct w:val="0"/>
              <w:autoSpaceDE w:val="0"/>
              <w:autoSpaceDN w:val="0"/>
              <w:adjustRightInd w:val="0"/>
              <w:snapToGrid w:val="0"/>
              <w:spacing w:after="0" w:line="240" w:lineRule="auto"/>
              <w:jc w:val="left"/>
              <w:textAlignment w:val="baseline"/>
              <w:rPr>
                <w:rFonts w:eastAsia="宋体"/>
                <w:kern w:val="0"/>
              </w:rPr>
            </w:pPr>
            <w:r>
              <w:rPr>
                <w:rFonts w:eastAsia="宋体"/>
                <w:kern w:val="0"/>
              </w:rPr>
              <w:t>The UE shall:</w:t>
            </w:r>
          </w:p>
          <w:p>
            <w:pPr>
              <w:widowControl/>
              <w:overflowPunct w:val="0"/>
              <w:autoSpaceDE w:val="0"/>
              <w:autoSpaceDN w:val="0"/>
              <w:adjustRightInd w:val="0"/>
              <w:snapToGrid w:val="0"/>
              <w:spacing w:after="0" w:line="240" w:lineRule="auto"/>
              <w:ind w:left="568" w:hanging="284"/>
              <w:jc w:val="left"/>
              <w:textAlignment w:val="baseline"/>
              <w:rPr>
                <w:rFonts w:eastAsia="宋体"/>
                <w:kern w:val="0"/>
              </w:rPr>
            </w:pPr>
            <w:r>
              <w:rPr>
                <w:rFonts w:eastAsia="宋体"/>
                <w:kern w:val="0"/>
              </w:rPr>
              <w:t>1&gt;</w:t>
            </w:r>
            <w:r>
              <w:rPr>
                <w:rFonts w:eastAsia="宋体"/>
                <w:kern w:val="0"/>
              </w:rPr>
              <w:tab/>
            </w:r>
            <w:r>
              <w:rPr>
                <w:rFonts w:eastAsia="宋体"/>
                <w:kern w:val="0"/>
              </w:rPr>
              <w:t xml:space="preserve">for each </w:t>
            </w:r>
            <w:r>
              <w:rPr>
                <w:rFonts w:eastAsia="宋体"/>
                <w:i/>
                <w:kern w:val="0"/>
              </w:rPr>
              <w:t>measObjectId</w:t>
            </w:r>
            <w:r>
              <w:rPr>
                <w:rFonts w:eastAsia="宋体"/>
                <w:kern w:val="0"/>
              </w:rPr>
              <w:t xml:space="preserve"> included in the received </w:t>
            </w:r>
            <w:r>
              <w:rPr>
                <w:rFonts w:eastAsia="宋体"/>
                <w:i/>
                <w:kern w:val="0"/>
              </w:rPr>
              <w:t>measObjectToAddModList</w:t>
            </w:r>
            <w:r>
              <w:rPr>
                <w:rFonts w:eastAsia="宋体"/>
                <w:kern w:val="0"/>
              </w:rPr>
              <w:t>:</w:t>
            </w:r>
          </w:p>
          <w:p>
            <w:pPr>
              <w:widowControl/>
              <w:overflowPunct w:val="0"/>
              <w:autoSpaceDE w:val="0"/>
              <w:autoSpaceDN w:val="0"/>
              <w:adjustRightInd w:val="0"/>
              <w:snapToGrid w:val="0"/>
              <w:spacing w:after="0" w:line="240" w:lineRule="auto"/>
              <w:ind w:left="851" w:hanging="284"/>
              <w:jc w:val="left"/>
              <w:textAlignment w:val="baseline"/>
              <w:rPr>
                <w:rFonts w:eastAsia="宋体"/>
                <w:kern w:val="0"/>
              </w:rPr>
            </w:pPr>
            <w:r>
              <w:rPr>
                <w:rFonts w:eastAsia="宋体"/>
                <w:kern w:val="0"/>
              </w:rPr>
              <w:t>2&gt;</w:t>
            </w:r>
            <w:r>
              <w:rPr>
                <w:rFonts w:eastAsia="宋体"/>
                <w:kern w:val="0"/>
              </w:rPr>
              <w:tab/>
            </w:r>
            <w:r>
              <w:rPr>
                <w:rFonts w:eastAsia="宋体"/>
                <w:kern w:val="0"/>
              </w:rPr>
              <w:t xml:space="preserve">if an entry with the matching </w:t>
            </w:r>
            <w:r>
              <w:rPr>
                <w:rFonts w:eastAsia="宋体"/>
                <w:i/>
                <w:kern w:val="0"/>
              </w:rPr>
              <w:t>measObjectId</w:t>
            </w:r>
            <w:r>
              <w:rPr>
                <w:rFonts w:eastAsia="宋体"/>
                <w:kern w:val="0"/>
              </w:rPr>
              <w:t xml:space="preserve"> exists in the </w:t>
            </w:r>
            <w:r>
              <w:rPr>
                <w:rFonts w:eastAsia="宋体"/>
                <w:i/>
                <w:kern w:val="0"/>
              </w:rPr>
              <w:t>measObjectList</w:t>
            </w:r>
            <w:r>
              <w:rPr>
                <w:rFonts w:eastAsia="宋体"/>
                <w:kern w:val="0"/>
              </w:rPr>
              <w:t xml:space="preserve"> within the </w:t>
            </w:r>
            <w:r>
              <w:rPr>
                <w:rFonts w:eastAsia="宋体"/>
                <w:i/>
                <w:kern w:val="0"/>
              </w:rPr>
              <w:t>VarMeasConfig</w:t>
            </w:r>
            <w:r>
              <w:rPr>
                <w:rFonts w:eastAsia="宋体"/>
                <w:kern w:val="0"/>
              </w:rPr>
              <w:t>, for this entry:</w:t>
            </w:r>
          </w:p>
          <w:p>
            <w:pPr>
              <w:widowControl/>
              <w:overflowPunct w:val="0"/>
              <w:autoSpaceDE w:val="0"/>
              <w:autoSpaceDN w:val="0"/>
              <w:adjustRightInd w:val="0"/>
              <w:snapToGrid w:val="0"/>
              <w:spacing w:after="0" w:line="240" w:lineRule="auto"/>
              <w:ind w:left="1135" w:hanging="284"/>
              <w:jc w:val="left"/>
              <w:textAlignment w:val="baseline"/>
              <w:rPr>
                <w:rFonts w:eastAsia="宋体"/>
                <w:kern w:val="0"/>
              </w:rPr>
            </w:pPr>
            <w:r>
              <w:rPr>
                <w:rFonts w:eastAsia="宋体"/>
                <w:kern w:val="0"/>
              </w:rPr>
              <w:t>3&gt;</w:t>
            </w:r>
            <w:r>
              <w:rPr>
                <w:rFonts w:eastAsia="宋体"/>
                <w:kern w:val="0"/>
              </w:rPr>
              <w:tab/>
            </w:r>
            <w:r>
              <w:rPr>
                <w:rFonts w:eastAsia="宋体"/>
                <w:kern w:val="0"/>
              </w:rPr>
              <w:t xml:space="preserve">reconfigure the entry with the value received for this </w:t>
            </w:r>
            <w:r>
              <w:rPr>
                <w:rFonts w:eastAsia="宋体"/>
                <w:i/>
                <w:kern w:val="0"/>
              </w:rPr>
              <w:t>measObject</w:t>
            </w:r>
            <w:r>
              <w:rPr>
                <w:rFonts w:eastAsia="宋体"/>
                <w:kern w:val="0"/>
              </w:rPr>
              <w:t xml:space="preserve">, except for the fields </w:t>
            </w:r>
            <w:r>
              <w:rPr>
                <w:rFonts w:eastAsia="宋体"/>
                <w:i/>
                <w:kern w:val="0"/>
              </w:rPr>
              <w:t>cellsToAddModList</w:t>
            </w:r>
            <w:r>
              <w:rPr>
                <w:rFonts w:eastAsia="宋体"/>
                <w:kern w:val="0"/>
              </w:rPr>
              <w:t xml:space="preserve">, </w:t>
            </w:r>
            <w:r>
              <w:rPr>
                <w:rFonts w:eastAsia="宋体"/>
                <w:i/>
                <w:kern w:val="0"/>
              </w:rPr>
              <w:t>excludedCellsToAddModList</w:t>
            </w:r>
            <w:r>
              <w:rPr>
                <w:rFonts w:eastAsia="宋体"/>
                <w:kern w:val="0"/>
              </w:rPr>
              <w:t xml:space="preserve">, </w:t>
            </w:r>
            <w:r>
              <w:rPr>
                <w:rFonts w:eastAsia="宋体"/>
                <w:i/>
                <w:kern w:val="0"/>
              </w:rPr>
              <w:t>allowedCellsToAddModList</w:t>
            </w:r>
            <w:r>
              <w:rPr>
                <w:rFonts w:eastAsia="宋体"/>
                <w:kern w:val="0"/>
              </w:rPr>
              <w:t xml:space="preserve">, </w:t>
            </w:r>
            <w:r>
              <w:rPr>
                <w:rFonts w:eastAsia="宋体"/>
                <w:i/>
                <w:kern w:val="0"/>
              </w:rPr>
              <w:t>cellsToRemoveList</w:t>
            </w:r>
            <w:r>
              <w:rPr>
                <w:rFonts w:eastAsia="宋体"/>
                <w:kern w:val="0"/>
              </w:rPr>
              <w:t xml:space="preserve">, </w:t>
            </w:r>
            <w:r>
              <w:rPr>
                <w:rFonts w:eastAsia="宋体"/>
                <w:i/>
                <w:kern w:val="0"/>
              </w:rPr>
              <w:t>excludedCellsToRemoveList</w:t>
            </w:r>
            <w:r>
              <w:rPr>
                <w:rFonts w:eastAsia="宋体"/>
                <w:kern w:val="0"/>
              </w:rPr>
              <w:t xml:space="preserve">, </w:t>
            </w:r>
            <w:r>
              <w:rPr>
                <w:rFonts w:eastAsia="宋体"/>
                <w:i/>
                <w:kern w:val="0"/>
              </w:rPr>
              <w:t>allowedCellsToRemoveList</w:t>
            </w:r>
            <w:r>
              <w:rPr>
                <w:rFonts w:eastAsia="宋体"/>
                <w:kern w:val="0"/>
              </w:rPr>
              <w:t>,</w:t>
            </w:r>
            <w:r>
              <w:rPr>
                <w:rFonts w:eastAsia="宋体"/>
                <w:i/>
                <w:kern w:val="0"/>
              </w:rPr>
              <w:t xml:space="preserve"> tx-PoolMeasToRemoveList</w:t>
            </w:r>
            <w:r>
              <w:rPr>
                <w:rFonts w:eastAsia="宋体"/>
                <w:kern w:val="0"/>
              </w:rPr>
              <w:t>,</w:t>
            </w:r>
            <w:r>
              <w:rPr>
                <w:rFonts w:eastAsia="宋体"/>
                <w:i/>
                <w:kern w:val="0"/>
              </w:rPr>
              <w:t xml:space="preserve"> tx-PoolMeasToAddModList</w:t>
            </w:r>
            <w:r>
              <w:rPr>
                <w:rFonts w:eastAsia="宋体"/>
                <w:kern w:val="0"/>
              </w:rPr>
              <w:t>,</w:t>
            </w:r>
            <w:r>
              <w:rPr>
                <w:rFonts w:eastAsia="宋体"/>
                <w:i/>
                <w:kern w:val="0"/>
              </w:rPr>
              <w:t xml:space="preserve"> ssb-PositionQCL-CellsToRemoveList</w:t>
            </w:r>
            <w:r>
              <w:rPr>
                <w:rFonts w:eastAsia="宋体"/>
                <w:kern w:val="0"/>
              </w:rPr>
              <w:t>,</w:t>
            </w:r>
            <w:r>
              <w:rPr>
                <w:rFonts w:eastAsia="宋体"/>
                <w:iCs/>
                <w:kern w:val="0"/>
              </w:rPr>
              <w:t xml:space="preserve"> </w:t>
            </w:r>
            <w:r>
              <w:rPr>
                <w:rFonts w:eastAsia="宋体"/>
                <w:i/>
                <w:kern w:val="0"/>
              </w:rPr>
              <w:t>ssb-PositionQCL-CellsToAddModList, cca-CellsToRemoveList</w:t>
            </w:r>
            <w:r>
              <w:rPr>
                <w:rFonts w:eastAsia="宋体"/>
                <w:kern w:val="0"/>
              </w:rPr>
              <w:t>,</w:t>
            </w:r>
            <w:r>
              <w:rPr>
                <w:rFonts w:eastAsia="宋体"/>
                <w:i/>
                <w:kern w:val="0"/>
              </w:rPr>
              <w:t xml:space="preserve"> </w:t>
            </w:r>
            <w:r>
              <w:rPr>
                <w:rFonts w:eastAsia="宋体"/>
                <w:kern w:val="0"/>
              </w:rPr>
              <w:t>and</w:t>
            </w:r>
            <w:r>
              <w:rPr>
                <w:rFonts w:eastAsia="宋体"/>
                <w:i/>
                <w:kern w:val="0"/>
              </w:rPr>
              <w:t xml:space="preserve"> cca-CellsToAddModList</w:t>
            </w:r>
            <w:r>
              <w:rPr>
                <w:rFonts w:eastAsia="宋体"/>
                <w:kern w:val="0"/>
              </w:rPr>
              <w:t>;</w:t>
            </w:r>
          </w:p>
          <w:p>
            <w:pPr>
              <w:snapToGrid w:val="0"/>
              <w:spacing w:after="0" w:line="240" w:lineRule="auto"/>
              <w:jc w:val="left"/>
              <w:rPr>
                <w:bCs/>
                <w:szCs w:val="21"/>
              </w:rPr>
            </w:pPr>
            <w:r>
              <w:rPr>
                <w:rFonts w:hint="eastAsia"/>
                <w:bCs/>
                <w:szCs w:val="21"/>
              </w:rPr>
              <w:t>&lt;</w:t>
            </w:r>
            <w:r>
              <w:rPr>
                <w:bCs/>
                <w:szCs w:val="21"/>
              </w:rPr>
              <w:t>skip irrelevant part&gt;</w:t>
            </w:r>
          </w:p>
          <w:p>
            <w:pPr>
              <w:widowControl/>
              <w:overflowPunct w:val="0"/>
              <w:autoSpaceDE w:val="0"/>
              <w:autoSpaceDN w:val="0"/>
              <w:adjustRightInd w:val="0"/>
              <w:spacing w:after="0" w:line="240" w:lineRule="auto"/>
              <w:ind w:left="1135" w:hanging="284"/>
              <w:jc w:val="left"/>
              <w:textAlignment w:val="baseline"/>
              <w:rPr>
                <w:rFonts w:eastAsia="宋体"/>
                <w:kern w:val="0"/>
              </w:rPr>
            </w:pPr>
            <w:r>
              <w:rPr>
                <w:rFonts w:eastAsia="宋体"/>
                <w:kern w:val="0"/>
              </w:rPr>
              <w:t>3&gt;</w:t>
            </w:r>
            <w:r>
              <w:rPr>
                <w:rFonts w:eastAsia="宋体"/>
                <w:kern w:val="0"/>
              </w:rPr>
              <w:tab/>
            </w:r>
            <w:r>
              <w:rPr>
                <w:rFonts w:eastAsia="宋体"/>
                <w:kern w:val="0"/>
              </w:rPr>
              <w:t>for each measId associated with this measObjectId in the measIdList within the VarMeasConfig, if any:</w:t>
            </w:r>
          </w:p>
          <w:p>
            <w:pPr>
              <w:widowControl/>
              <w:overflowPunct w:val="0"/>
              <w:autoSpaceDE w:val="0"/>
              <w:autoSpaceDN w:val="0"/>
              <w:adjustRightInd w:val="0"/>
              <w:spacing w:after="0" w:line="240" w:lineRule="auto"/>
              <w:ind w:left="1418" w:hanging="284"/>
              <w:jc w:val="left"/>
              <w:textAlignment w:val="baseline"/>
              <w:rPr>
                <w:rFonts w:eastAsia="宋体"/>
                <w:kern w:val="0"/>
              </w:rPr>
            </w:pPr>
            <w:r>
              <w:rPr>
                <w:rFonts w:eastAsia="宋体"/>
                <w:kern w:val="0"/>
              </w:rPr>
              <w:t>4&gt;</w:t>
            </w:r>
            <w:r>
              <w:rPr>
                <w:rFonts w:eastAsia="宋体"/>
                <w:kern w:val="0"/>
              </w:rPr>
              <w:tab/>
            </w:r>
            <w:r>
              <w:rPr>
                <w:rFonts w:eastAsia="宋体"/>
                <w:kern w:val="0"/>
              </w:rPr>
              <w:t>remove the measurement reporting entry for this measId from the VarMeasReportList, if included;</w:t>
            </w:r>
          </w:p>
          <w:p>
            <w:pPr>
              <w:widowControl/>
              <w:overflowPunct w:val="0"/>
              <w:autoSpaceDE w:val="0"/>
              <w:autoSpaceDN w:val="0"/>
              <w:adjustRightInd w:val="0"/>
              <w:spacing w:after="0" w:line="240" w:lineRule="auto"/>
              <w:ind w:left="1418" w:hanging="284"/>
              <w:jc w:val="left"/>
              <w:textAlignment w:val="baseline"/>
              <w:rPr>
                <w:rFonts w:eastAsia="宋体"/>
                <w:kern w:val="0"/>
              </w:rPr>
            </w:pPr>
            <w:r>
              <w:rPr>
                <w:rFonts w:eastAsia="宋体"/>
                <w:kern w:val="0"/>
              </w:rPr>
              <w:t>4&gt;</w:t>
            </w:r>
            <w:r>
              <w:rPr>
                <w:rFonts w:eastAsia="宋体"/>
                <w:kern w:val="0"/>
              </w:rPr>
              <w:tab/>
            </w:r>
            <w:r>
              <w:rPr>
                <w:rFonts w:eastAsia="宋体"/>
                <w:kern w:val="0"/>
              </w:rPr>
              <w:t>stop the periodical reporting timer or timer T321 or timer T322, whichever one is running, and reset the associated information (e.g. timeToTrigger) for this measId;</w:t>
            </w:r>
          </w:p>
          <w:p>
            <w:pPr>
              <w:snapToGrid w:val="0"/>
              <w:spacing w:after="0" w:line="240" w:lineRule="auto"/>
              <w:jc w:val="left"/>
              <w:rPr>
                <w:rFonts w:hint="eastAsia"/>
                <w:bCs/>
                <w:szCs w:val="21"/>
              </w:rPr>
            </w:pPr>
            <w:r>
              <w:rPr>
                <w:rFonts w:hint="eastAsia"/>
                <w:bCs/>
                <w:szCs w:val="21"/>
              </w:rPr>
              <w:t>&lt;</w:t>
            </w:r>
            <w:r>
              <w:rPr>
                <w:bCs/>
                <w:szCs w:val="21"/>
              </w:rPr>
              <w:t>skip irrelevant part&gt;</w:t>
            </w:r>
          </w:p>
        </w:tc>
      </w:tr>
    </w:tbl>
    <w:p>
      <w:pPr>
        <w:spacing w:after="0" w:line="240" w:lineRule="auto"/>
        <w:ind w:left="1065" w:hanging="1064" w:hangingChars="507"/>
        <w:jc w:val="left"/>
        <w:rPr>
          <w:bCs/>
          <w:szCs w:val="21"/>
        </w:rPr>
      </w:pPr>
    </w:p>
    <w:p>
      <w:pPr>
        <w:snapToGrid w:val="0"/>
        <w:spacing w:after="0" w:line="240" w:lineRule="auto"/>
      </w:pPr>
      <w:r>
        <w:t xml:space="preserve">If autonomous switching of SSB-ToMeasure follow the RRC reconfiguration procedure, the TTT will be reset, periodical reporting timer, T321/T322 will be stopped. </w:t>
      </w:r>
      <w:r>
        <w:rPr>
          <w:rFonts w:hint="eastAsia"/>
        </w:rPr>
        <w:t>T</w:t>
      </w:r>
      <w:r>
        <w:t xml:space="preserve">he related measurement reporting entry is removed from VarMeasReportList if included. </w:t>
      </w:r>
    </w:p>
    <w:p>
      <w:pPr>
        <w:snapToGrid w:val="0"/>
        <w:spacing w:after="0" w:line="240" w:lineRule="auto"/>
      </w:pPr>
      <w:r>
        <w:t xml:space="preserve">Some issues </w:t>
      </w:r>
      <w:r>
        <w:rPr>
          <w:rFonts w:hint="eastAsia"/>
          <w:lang w:val="en-US" w:eastAsia="zh-CN"/>
        </w:rPr>
        <w:t xml:space="preserve">and potential impacts </w:t>
      </w:r>
      <w:r>
        <w:t>need to be address</w:t>
      </w:r>
      <w:r>
        <w:rPr>
          <w:rFonts w:hint="eastAsia"/>
          <w:lang w:val="en-US" w:eastAsia="zh-CN"/>
        </w:rPr>
        <w:t>ed</w:t>
      </w:r>
      <w:r>
        <w:t>:</w:t>
      </w:r>
    </w:p>
    <w:p>
      <w:pPr>
        <w:snapToGrid w:val="0"/>
        <w:spacing w:after="0" w:line="240" w:lineRule="auto"/>
        <w:ind w:firstLine="420"/>
      </w:pPr>
      <w:r>
        <w:t>-</w:t>
      </w:r>
      <w:r>
        <w:tab/>
      </w:r>
      <w:r>
        <w:t xml:space="preserve">Whether </w:t>
      </w:r>
      <w:r>
        <w:rPr>
          <w:rFonts w:hint="eastAsia"/>
          <w:lang w:val="en-US" w:eastAsia="zh-CN"/>
        </w:rPr>
        <w:t xml:space="preserve">to </w:t>
      </w:r>
      <w:r>
        <w:rPr>
          <w:rFonts w:hint="eastAsia"/>
        </w:rPr>
        <w:t xml:space="preserve">stop the periodical reporting timer or timer </w:t>
      </w:r>
      <w:r>
        <w:t>T321/T322.</w:t>
      </w:r>
    </w:p>
    <w:p>
      <w:pPr>
        <w:pStyle w:val="285"/>
        <w:ind w:left="820" w:hanging="400"/>
      </w:pPr>
      <w:r>
        <w:t>-</w:t>
      </w:r>
      <w:r>
        <w:tab/>
      </w:r>
      <w:r>
        <w:t xml:space="preserve">Whether </w:t>
      </w:r>
      <w:r>
        <w:rPr>
          <w:rFonts w:hint="eastAsia"/>
          <w:lang w:val="en-US" w:eastAsia="zh-CN"/>
        </w:rPr>
        <w:t xml:space="preserve">to reset </w:t>
      </w:r>
      <w:r>
        <w:t>numberOfReportsSent in VarMeas</w:t>
      </w:r>
      <w:r>
        <w:rPr>
          <w:rFonts w:hint="eastAsia"/>
        </w:rPr>
        <w:t>ReportList</w:t>
      </w:r>
      <w:r>
        <w:t>.</w:t>
      </w:r>
    </w:p>
    <w:p>
      <w:pPr>
        <w:pStyle w:val="285"/>
        <w:ind w:left="820" w:hanging="400"/>
      </w:pPr>
      <w:r>
        <w:rPr>
          <w:rFonts w:hint="eastAsia"/>
        </w:rPr>
        <w:t>-</w:t>
      </w:r>
      <w:r>
        <w:tab/>
      </w:r>
      <w:r>
        <w:rPr>
          <w:rFonts w:hint="eastAsia"/>
          <w:lang w:val="en-US" w:eastAsia="zh-CN"/>
        </w:rPr>
        <w:t>Whether to reset the timeToTrigger, e.g. considering t</w:t>
      </w:r>
      <w:r>
        <w:t>he impact of reset of timeToTrigger on the measurement reporting delay.</w:t>
      </w:r>
    </w:p>
    <w:p>
      <w:pPr>
        <w:spacing w:after="0" w:line="240" w:lineRule="auto"/>
        <w:ind w:left="1558" w:hanging="1558" w:hangingChars="739"/>
        <w:jc w:val="left"/>
        <w:rPr>
          <w:b/>
          <w:bCs/>
          <w:szCs w:val="21"/>
        </w:rPr>
      </w:pPr>
      <w:r>
        <w:rPr>
          <w:b/>
          <w:bCs/>
          <w:szCs w:val="21"/>
        </w:rPr>
        <w:t xml:space="preserve">Obaservation 1: If we model the change of SSB-ToMeasure as RRC </w:t>
      </w:r>
      <w:r>
        <w:rPr>
          <w:rFonts w:hint="eastAsia"/>
          <w:b/>
          <w:bCs/>
          <w:szCs w:val="21"/>
          <w:lang w:eastAsia="zh-CN"/>
        </w:rPr>
        <w:t>reconfiguration</w:t>
      </w:r>
      <w:r>
        <w:rPr>
          <w:b/>
          <w:bCs/>
          <w:szCs w:val="21"/>
        </w:rPr>
        <w:t>, following issues need to be addressed:</w:t>
      </w:r>
    </w:p>
    <w:p>
      <w:pPr>
        <w:snapToGrid w:val="0"/>
        <w:spacing w:after="0" w:line="240" w:lineRule="auto"/>
        <w:ind w:left="840" w:leftChars="400" w:firstLine="420"/>
        <w:rPr>
          <w:b/>
        </w:rPr>
      </w:pPr>
      <w:r>
        <w:rPr>
          <w:b/>
        </w:rPr>
        <w:t>-</w:t>
      </w:r>
      <w:r>
        <w:rPr>
          <w:b/>
        </w:rPr>
        <w:tab/>
      </w:r>
      <w:r>
        <w:rPr>
          <w:b/>
        </w:rPr>
        <w:t xml:space="preserve">Whether </w:t>
      </w:r>
      <w:r>
        <w:rPr>
          <w:rFonts w:hint="eastAsia"/>
          <w:b/>
          <w:bCs/>
          <w:lang w:val="en-US" w:eastAsia="zh-CN"/>
        </w:rPr>
        <w:t xml:space="preserve">to </w:t>
      </w:r>
      <w:r>
        <w:rPr>
          <w:rFonts w:hint="eastAsia"/>
          <w:b/>
          <w:bCs/>
        </w:rPr>
        <w:t xml:space="preserve">stop the periodical reporting timer or timer </w:t>
      </w:r>
      <w:r>
        <w:rPr>
          <w:b/>
          <w:bCs/>
        </w:rPr>
        <w:t>T321/T322</w:t>
      </w:r>
      <w:r>
        <w:rPr>
          <w:b/>
        </w:rPr>
        <w:t>.</w:t>
      </w:r>
    </w:p>
    <w:p>
      <w:pPr>
        <w:pStyle w:val="285"/>
        <w:ind w:left="1660" w:leftChars="600" w:hanging="400"/>
        <w:rPr>
          <w:b/>
        </w:rPr>
      </w:pPr>
      <w:r>
        <w:rPr>
          <w:b/>
        </w:rPr>
        <w:t>-</w:t>
      </w:r>
      <w:r>
        <w:rPr>
          <w:b/>
        </w:rPr>
        <w:tab/>
      </w:r>
      <w:r>
        <w:rPr>
          <w:b/>
        </w:rPr>
        <w:t xml:space="preserve">Whether </w:t>
      </w:r>
      <w:r>
        <w:rPr>
          <w:rFonts w:hint="eastAsia"/>
          <w:b/>
          <w:lang w:val="en-US" w:eastAsia="zh-CN"/>
        </w:rPr>
        <w:t xml:space="preserve">to reset </w:t>
      </w:r>
      <w:r>
        <w:rPr>
          <w:b/>
        </w:rPr>
        <w:t>numberOfReportsSent in VarMeas</w:t>
      </w:r>
      <w:r>
        <w:rPr>
          <w:rFonts w:hint="eastAsia"/>
          <w:b/>
        </w:rPr>
        <w:t>ReportList</w:t>
      </w:r>
      <w:r>
        <w:rPr>
          <w:b/>
        </w:rPr>
        <w:t>.</w:t>
      </w:r>
    </w:p>
    <w:p>
      <w:pPr>
        <w:pStyle w:val="285"/>
        <w:ind w:left="1660" w:leftChars="600" w:hanging="400"/>
        <w:rPr>
          <w:rFonts w:hint="eastAsia"/>
          <w:b/>
        </w:rPr>
      </w:pPr>
      <w:r>
        <w:rPr>
          <w:b/>
        </w:rPr>
        <w:t>-</w:t>
      </w:r>
      <w:r>
        <w:rPr>
          <w:b/>
        </w:rPr>
        <w:tab/>
      </w:r>
      <w:r>
        <w:rPr>
          <w:rFonts w:hint="eastAsia"/>
          <w:b/>
        </w:rPr>
        <w:t>Whether to reset the timeToTrigger, e.g. considering t</w:t>
      </w:r>
      <w:r>
        <w:rPr>
          <w:b/>
        </w:rPr>
        <w:t>he impact of reset of timeToTrigger on the measurement reporting delay</w:t>
      </w:r>
    </w:p>
    <w:p>
      <w:pPr>
        <w:snapToGrid w:val="0"/>
        <w:spacing w:after="0" w:line="240" w:lineRule="auto"/>
        <w:rPr>
          <w:rFonts w:hint="eastAsia"/>
        </w:rPr>
      </w:pPr>
      <w:r>
        <w:t>We understand the purpose of modeling the UE behavior as RRC reconfiguration is to simplify the specification. However, there is another model to make it even simpler.</w:t>
      </w:r>
    </w:p>
    <w:p>
      <w:pPr>
        <w:snapToGrid w:val="0"/>
        <w:spacing w:after="0" w:line="240" w:lineRule="auto"/>
      </w:pPr>
      <w:r>
        <w:t xml:space="preserve">In NR </w:t>
      </w:r>
      <w:r>
        <w:rPr>
          <w:rFonts w:hint="eastAsia"/>
          <w:lang w:eastAsia="zh-CN"/>
        </w:rPr>
        <w:t>specification</w:t>
      </w:r>
      <w:r>
        <w:t xml:space="preserve">, </w:t>
      </w:r>
      <w:r>
        <w:rPr>
          <w:rFonts w:hint="eastAsia"/>
          <w:lang w:val="en-US" w:eastAsia="zh-CN"/>
        </w:rPr>
        <w:t>the triggering of L3 measurement reporting</w:t>
      </w:r>
      <w:r>
        <w:t xml:space="preserve"> is based on cell level measurement results. From this point of view, the change of SSB-ToMeasure is similar to the change of the best beams that are used for cell level quality derivation. And the behavior of such change is not specified but is left to UE implementation.</w:t>
      </w:r>
    </w:p>
    <w:p>
      <w:pPr>
        <w:snapToGrid w:val="0"/>
        <w:spacing w:after="0" w:line="240" w:lineRule="auto"/>
        <w:rPr>
          <w:rFonts w:hint="eastAsia"/>
        </w:rPr>
      </w:pPr>
      <w:r>
        <w:t xml:space="preserve">Let’s take TTT as example. When TTT is running while the best beams changes, the cell level quality may also changes. The UE </w:t>
      </w:r>
      <w:r>
        <w:rPr>
          <w:rFonts w:hint="eastAsia"/>
          <w:lang w:val="en-US" w:eastAsia="zh-CN"/>
        </w:rPr>
        <w:t>decides whether to</w:t>
      </w:r>
      <w:r>
        <w:t xml:space="preserve"> stop TTT or not based on the current cell level quality but not based on change of the used beams. </w:t>
      </w:r>
    </w:p>
    <w:p>
      <w:pPr>
        <w:snapToGrid w:val="0"/>
        <w:spacing w:after="0" w:line="240" w:lineRule="auto"/>
      </w:pPr>
      <w:r>
        <w:t xml:space="preserve">Another example is periodical reporting. When a periodical reporting entry is already included in VarMeasReportList, the change of beams used for cell level quality derivation will not remove the entry, and will not stop periodical reporting timer. The numberOfReportSent is not reset and </w:t>
      </w:r>
      <w:r>
        <w:rPr>
          <w:i/>
        </w:rPr>
        <w:t xml:space="preserve">cellsTriggeredList </w:t>
      </w:r>
      <w:r>
        <w:t>is updated accordingly by UE implementation.</w:t>
      </w:r>
    </w:p>
    <w:p>
      <w:pPr>
        <w:spacing w:after="0" w:line="240" w:lineRule="auto"/>
        <w:ind w:left="1069" w:hanging="1069" w:hangingChars="507"/>
        <w:jc w:val="left"/>
        <w:rPr>
          <w:rFonts w:hint="eastAsia"/>
          <w:b/>
          <w:bCs/>
          <w:szCs w:val="21"/>
        </w:rPr>
      </w:pPr>
      <w:r>
        <w:rPr>
          <w:b/>
          <w:bCs/>
          <w:szCs w:val="21"/>
        </w:rPr>
        <w:t xml:space="preserve">Observation 2: The UE behavior on the change of beams used for cell level quality </w:t>
      </w:r>
      <w:r>
        <w:rPr>
          <w:rFonts w:hint="eastAsia"/>
          <w:b/>
          <w:bCs/>
          <w:szCs w:val="21"/>
          <w:lang w:eastAsia="zh-CN"/>
        </w:rPr>
        <w:t>derivation</w:t>
      </w:r>
      <w:r>
        <w:rPr>
          <w:b/>
          <w:bCs/>
          <w:szCs w:val="21"/>
        </w:rPr>
        <w:t xml:space="preserve"> is not specified.</w:t>
      </w:r>
    </w:p>
    <w:p>
      <w:pPr>
        <w:snapToGrid w:val="0"/>
        <w:spacing w:after="0" w:line="240" w:lineRule="auto"/>
      </w:pPr>
      <w:r>
        <w:t xml:space="preserve">From L3 measurement point of view, the change of SSB-ToMeasure is similar to the change of beams used for cell level quality derivation, except that the UE start or stop performing beam level measurement on some beams according to the new SSB-ToMeausre. </w:t>
      </w:r>
    </w:p>
    <w:p>
      <w:pPr>
        <w:spacing w:after="0" w:line="240" w:lineRule="auto"/>
        <w:ind w:left="1069" w:hanging="1069" w:hangingChars="507"/>
        <w:jc w:val="left"/>
        <w:rPr>
          <w:b/>
          <w:bCs/>
          <w:szCs w:val="21"/>
        </w:rPr>
      </w:pPr>
      <w:r>
        <w:rPr>
          <w:b/>
          <w:bCs/>
          <w:szCs w:val="21"/>
        </w:rPr>
        <w:t>Observation 3: From L3 measurement point of view, the change of SSB-ToMeausre is similar to the change of beams used for cell level quality derivation, except for that UE starts or stops performing beam level measurement on some beams when applying new SSB-ToMeasure.</w:t>
      </w:r>
    </w:p>
    <w:p>
      <w:pPr>
        <w:snapToGrid w:val="0"/>
        <w:spacing w:after="0" w:line="240" w:lineRule="auto"/>
        <w:rPr>
          <w:rFonts w:hint="eastAsia"/>
        </w:rPr>
      </w:pPr>
      <w:r>
        <w:t>Therefore, if we model the change of SSB-ToMeasure this way, the only UE behavior needs to be captured is that the UE applies the SSB-</w:t>
      </w:r>
      <w:r>
        <w:rPr>
          <w:rFonts w:hint="eastAsia"/>
        </w:rPr>
        <w:t>ToMeasure</w:t>
      </w:r>
      <w:r>
        <w:t xml:space="preserve"> value when it is in the associated height-region in field description. It is much simpler than RRC reconfiguration model.</w:t>
      </w:r>
    </w:p>
    <w:p>
      <w:pPr>
        <w:spacing w:after="0" w:line="240" w:lineRule="auto"/>
        <w:ind w:left="1069" w:hanging="1069" w:hangingChars="507"/>
        <w:jc w:val="left"/>
        <w:rPr>
          <w:b/>
          <w:bCs/>
          <w:szCs w:val="21"/>
        </w:rPr>
      </w:pPr>
      <w:r>
        <w:rPr>
          <w:b/>
          <w:bCs/>
          <w:szCs w:val="21"/>
        </w:rPr>
        <w:t xml:space="preserve">Proposal </w:t>
      </w:r>
      <w:r>
        <w:rPr>
          <w:rFonts w:hint="eastAsia"/>
          <w:b/>
          <w:bCs/>
          <w:szCs w:val="21"/>
          <w:lang w:val="en-US" w:eastAsia="zh-CN"/>
        </w:rPr>
        <w:t>2</w:t>
      </w:r>
      <w:r>
        <w:rPr>
          <w:b/>
          <w:bCs/>
          <w:szCs w:val="21"/>
        </w:rPr>
        <w:t>: The only impact on L3 measurement is to capture in the SSB-ToMeasure field description that the UE applies the SSB-ToMeasure when it is in associated height-region.</w:t>
      </w:r>
    </w:p>
    <w:p>
      <w:pPr>
        <w:snapToGrid w:val="0"/>
        <w:spacing w:after="0" w:line="240" w:lineRule="auto"/>
        <w:rPr>
          <w:rFonts w:hint="eastAsia"/>
        </w:rPr>
      </w:pPr>
    </w:p>
    <w:p>
      <w:pPr>
        <w:spacing w:after="0" w:line="240" w:lineRule="auto"/>
        <w:jc w:val="left"/>
        <w:rPr>
          <w:szCs w:val="21"/>
        </w:rPr>
      </w:pPr>
      <w:r>
        <w:rPr>
          <w:szCs w:val="21"/>
        </w:rPr>
        <w:t>One FFS issue identified in last RAN2 meeting is a following:</w:t>
      </w:r>
    </w:p>
    <w:p>
      <w:pPr>
        <w:pStyle w:val="68"/>
        <w:numPr>
          <w:ilvl w:val="0"/>
          <w:numId w:val="6"/>
        </w:numPr>
        <w:pBdr>
          <w:top w:val="single" w:color="auto" w:sz="4" w:space="1"/>
          <w:left w:val="single" w:color="auto" w:sz="4" w:space="4"/>
          <w:bottom w:val="single" w:color="auto" w:sz="4" w:space="1"/>
          <w:right w:val="single" w:color="auto" w:sz="4" w:space="4"/>
        </w:pBdr>
        <w:tabs>
          <w:tab w:val="left" w:pos="1276"/>
          <w:tab w:val="clear" w:pos="1622"/>
        </w:tabs>
        <w:snapToGrid w:val="0"/>
        <w:spacing w:after="0" w:line="240" w:lineRule="auto"/>
        <w:ind w:left="1276" w:hanging="567"/>
        <w:rPr>
          <w:rFonts w:ascii="Times New Roman" w:hAnsi="Times New Roman"/>
          <w:sz w:val="21"/>
          <w:szCs w:val="21"/>
        </w:rPr>
      </w:pPr>
      <w:r>
        <w:rPr>
          <w:rFonts w:ascii="Times New Roman" w:hAnsi="Times New Roman"/>
          <w:sz w:val="21"/>
          <w:szCs w:val="21"/>
        </w:rPr>
        <w:t xml:space="preserve">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w:t>
      </w:r>
      <w:r>
        <w:rPr>
          <w:rFonts w:ascii="Times New Roman" w:hAnsi="Times New Roman"/>
          <w:sz w:val="21"/>
          <w:szCs w:val="21"/>
          <w:highlight w:val="cyan"/>
        </w:rPr>
        <w:t>FFS details</w:t>
      </w:r>
    </w:p>
    <w:p>
      <w:pPr>
        <w:spacing w:after="0" w:line="240" w:lineRule="auto"/>
        <w:jc w:val="left"/>
      </w:pPr>
      <w:r>
        <w:t xml:space="preserve">We understand that if height-specific SSB-ToMeasure is not explicitly configured for a certain height, which SSB-ToMeasure is applied depends on whether it is defined to support delta configuration. </w:t>
      </w:r>
    </w:p>
    <w:p>
      <w:pPr>
        <w:spacing w:after="0" w:line="240" w:lineRule="auto"/>
        <w:jc w:val="left"/>
      </w:pPr>
      <w:r>
        <w:t xml:space="preserve">However, we can firstly determine the </w:t>
      </w:r>
      <w:r>
        <w:rPr>
          <w:rFonts w:hint="eastAsia"/>
          <w:lang w:eastAsia="zh-CN"/>
        </w:rPr>
        <w:t>basic</w:t>
      </w:r>
      <w:r>
        <w:t xml:space="preserve"> principle in case the height-specific SSB-ToMeasure is not configured or released by network. There are two options:</w:t>
      </w:r>
      <w:r>
        <w:rPr>
          <w:rFonts w:hint="eastAsia"/>
        </w:rPr>
        <w:t xml:space="preserve"> </w:t>
      </w:r>
    </w:p>
    <w:p>
      <w:pPr>
        <w:numPr>
          <w:ilvl w:val="0"/>
          <w:numId w:val="7"/>
        </w:numPr>
        <w:spacing w:after="0" w:line="240" w:lineRule="auto"/>
        <w:ind w:left="420" w:leftChars="0" w:hanging="420"/>
        <w:jc w:val="left"/>
      </w:pPr>
      <w:r>
        <w:t>Option 1: legacy SSB-ToMeasure value.</w:t>
      </w:r>
    </w:p>
    <w:p>
      <w:pPr>
        <w:numPr>
          <w:ilvl w:val="0"/>
          <w:numId w:val="7"/>
        </w:numPr>
        <w:spacing w:after="0" w:line="240" w:lineRule="auto"/>
        <w:ind w:left="420" w:leftChars="0" w:hanging="420"/>
        <w:jc w:val="left"/>
      </w:pPr>
      <w:r>
        <w:t>Option 2: all SSBs.</w:t>
      </w:r>
    </w:p>
    <w:p>
      <w:pPr>
        <w:spacing w:after="0" w:line="240" w:lineRule="auto"/>
        <w:jc w:val="left"/>
      </w:pPr>
      <w:r>
        <w:t>Per our understanding, when network does not configure or release the height-specific SSB-ToMeasure for a certain height, the UE behavior should be aligned with legacy, i.e. to apply legacy SSB-ToMeasure value.</w:t>
      </w:r>
      <w:r>
        <w:rPr>
          <w:rFonts w:hint="eastAsia"/>
        </w:rPr>
        <w:t xml:space="preserve"> </w:t>
      </w:r>
      <w:r>
        <w:t>This should be the basic principle.</w:t>
      </w:r>
    </w:p>
    <w:p>
      <w:pPr>
        <w:spacing w:after="0" w:line="240" w:lineRule="auto"/>
        <w:jc w:val="left"/>
        <w:rPr>
          <w:rFonts w:hint="eastAsia"/>
        </w:rPr>
      </w:pPr>
      <w:r>
        <w:t>As to other cases such as caused by need code and condition</w:t>
      </w:r>
      <w:r>
        <w:rPr>
          <w:rFonts w:hint="eastAsia"/>
        </w:rPr>
        <w:t>,</w:t>
      </w:r>
      <w:r>
        <w:t xml:space="preserve"> </w:t>
      </w:r>
      <w:r>
        <w:rPr>
          <w:rFonts w:hint="eastAsia"/>
        </w:rPr>
        <w:t>e</w:t>
      </w:r>
      <w:r>
        <w:t>.g. SSB-ToMeasure field is absent while height-region is present, we can discuss in stage 3.</w:t>
      </w:r>
    </w:p>
    <w:p>
      <w:pPr>
        <w:spacing w:after="0" w:line="240" w:lineRule="auto"/>
        <w:ind w:left="1069" w:hanging="1069" w:hangingChars="507"/>
        <w:jc w:val="left"/>
        <w:rPr>
          <w:b/>
          <w:bCs/>
          <w:szCs w:val="21"/>
        </w:rPr>
      </w:pPr>
      <w:r>
        <w:rPr>
          <w:rFonts w:hint="eastAsia"/>
          <w:b/>
          <w:bCs/>
          <w:szCs w:val="21"/>
        </w:rPr>
        <w:t xml:space="preserve">Proposal </w:t>
      </w:r>
      <w:r>
        <w:rPr>
          <w:rFonts w:hint="eastAsia"/>
          <w:b/>
          <w:bCs/>
          <w:szCs w:val="21"/>
          <w:lang w:val="en-US" w:eastAsia="zh-CN"/>
        </w:rPr>
        <w:t>3</w:t>
      </w:r>
      <w:r>
        <w:rPr>
          <w:rFonts w:hint="eastAsia"/>
          <w:b/>
          <w:bCs/>
          <w:szCs w:val="21"/>
        </w:rPr>
        <w:t xml:space="preserve">: </w:t>
      </w:r>
      <w:r>
        <w:rPr>
          <w:b/>
          <w:bCs/>
          <w:szCs w:val="21"/>
        </w:rPr>
        <w:t xml:space="preserve">As a </w:t>
      </w:r>
      <w:r>
        <w:rPr>
          <w:rFonts w:hint="eastAsia"/>
          <w:b/>
          <w:bCs/>
          <w:szCs w:val="21"/>
          <w:lang w:eastAsia="zh-CN"/>
        </w:rPr>
        <w:t>basic</w:t>
      </w:r>
      <w:r>
        <w:rPr>
          <w:b/>
          <w:bCs/>
          <w:szCs w:val="21"/>
        </w:rPr>
        <w:t xml:space="preserve"> principle, i</w:t>
      </w:r>
      <w:r>
        <w:rPr>
          <w:rFonts w:hint="eastAsia"/>
          <w:b/>
          <w:bCs/>
          <w:szCs w:val="21"/>
        </w:rPr>
        <w:t xml:space="preserve">f no height-specific SSB-ToMeasure </w:t>
      </w:r>
      <w:r>
        <w:rPr>
          <w:b/>
          <w:bCs/>
          <w:szCs w:val="21"/>
        </w:rPr>
        <w:t xml:space="preserve">is </w:t>
      </w:r>
      <w:r>
        <w:rPr>
          <w:rFonts w:hint="eastAsia"/>
          <w:b/>
          <w:bCs/>
          <w:szCs w:val="21"/>
        </w:rPr>
        <w:t>configured for a specific height region, the legacy SSB-ToMeasure is applied.</w:t>
      </w:r>
    </w:p>
    <w:p>
      <w:pPr>
        <w:spacing w:after="0" w:line="240" w:lineRule="auto"/>
        <w:ind w:left="1069" w:hanging="1069" w:hangingChars="507"/>
        <w:jc w:val="left"/>
        <w:rPr>
          <w:b/>
          <w:bCs/>
          <w:szCs w:val="21"/>
        </w:rPr>
      </w:pPr>
    </w:p>
    <w:p>
      <w:pPr>
        <w:spacing w:after="0" w:line="240" w:lineRule="auto"/>
        <w:jc w:val="left"/>
        <w:rPr>
          <w:rFonts w:hint="eastAsia"/>
        </w:rPr>
      </w:pPr>
      <w:r>
        <w:t xml:space="preserve">With same reasons as introducing </w:t>
      </w:r>
      <w:r>
        <w:rPr>
          <w:rFonts w:hint="eastAsia"/>
        </w:rPr>
        <w:t>h</w:t>
      </w:r>
      <w:r>
        <w:t xml:space="preserve">eight-dependent SSB-ToMeasure for RRC_CONNECTED </w:t>
      </w:r>
      <w:r>
        <w:rPr>
          <w:rFonts w:hint="eastAsia"/>
          <w:lang w:eastAsia="zh-CN"/>
        </w:rPr>
        <w:t>measurement</w:t>
      </w:r>
      <w:r>
        <w:t>, we believe it is also beneficial to extend this mechanism to RRM measurement for RRC_IDLE and RRC_INACTIVE state.</w:t>
      </w:r>
      <w:r>
        <w:rPr>
          <w:rFonts w:hint="eastAsia"/>
        </w:rPr>
        <w:t xml:space="preserve"> </w:t>
      </w:r>
      <w:r>
        <w:t xml:space="preserve">And it is also </w:t>
      </w:r>
      <w:r>
        <w:rPr>
          <w:rFonts w:hint="eastAsia"/>
          <w:lang w:eastAsia="zh-CN"/>
        </w:rPr>
        <w:t>beneficial</w:t>
      </w:r>
      <w:r>
        <w:t xml:space="preserve"> to apply this mechanism to RACH resource selection considering the RACH resource selection is based on the measurement on SSB.</w:t>
      </w:r>
    </w:p>
    <w:p>
      <w:pPr>
        <w:spacing w:after="0" w:line="240" w:lineRule="auto"/>
        <w:ind w:left="1069" w:hanging="1069" w:hangingChars="507"/>
        <w:jc w:val="left"/>
        <w:rPr>
          <w:b/>
          <w:bCs/>
          <w:szCs w:val="21"/>
        </w:rPr>
      </w:pPr>
      <w:r>
        <w:rPr>
          <w:rFonts w:hint="eastAsia"/>
          <w:b/>
          <w:bCs/>
          <w:szCs w:val="21"/>
        </w:rPr>
        <w:t>Proposal</w:t>
      </w:r>
      <w:r>
        <w:rPr>
          <w:b/>
          <w:bCs/>
          <w:szCs w:val="21"/>
        </w:rPr>
        <w:t xml:space="preserve"> </w:t>
      </w:r>
      <w:r>
        <w:rPr>
          <w:rFonts w:hint="eastAsia"/>
          <w:b/>
          <w:bCs/>
          <w:szCs w:val="21"/>
          <w:lang w:val="en-US" w:eastAsia="zh-CN"/>
        </w:rPr>
        <w:t>4</w:t>
      </w:r>
      <w:r>
        <w:rPr>
          <w:rFonts w:hint="eastAsia"/>
          <w:b/>
          <w:bCs/>
          <w:szCs w:val="21"/>
        </w:rPr>
        <w:t xml:space="preserve">: To extend height-dependent SSB-ToMeasure to RRM measurement for cell </w:t>
      </w:r>
      <w:r>
        <w:rPr>
          <w:rFonts w:hint="eastAsia"/>
          <w:b/>
          <w:bCs/>
          <w:szCs w:val="21"/>
          <w:lang w:eastAsia="zh-CN"/>
        </w:rPr>
        <w:t>re-selection</w:t>
      </w:r>
      <w:r>
        <w:rPr>
          <w:rFonts w:hint="eastAsia"/>
          <w:b/>
          <w:bCs/>
          <w:szCs w:val="21"/>
          <w:lang w:val="en-US" w:eastAsia="zh-CN"/>
        </w:rPr>
        <w:t xml:space="preserve">, </w:t>
      </w:r>
      <w:r>
        <w:rPr>
          <w:rFonts w:hint="eastAsia"/>
          <w:b/>
          <w:bCs/>
          <w:szCs w:val="21"/>
        </w:rPr>
        <w:t>Idle/</w:t>
      </w:r>
      <w:r>
        <w:rPr>
          <w:rFonts w:hint="eastAsia"/>
          <w:b/>
          <w:bCs/>
          <w:szCs w:val="21"/>
          <w:lang w:eastAsia="zh-CN"/>
        </w:rPr>
        <w:t>I</w:t>
      </w:r>
      <w:r>
        <w:rPr>
          <w:rFonts w:hint="eastAsia"/>
          <w:b/>
          <w:bCs/>
          <w:szCs w:val="21"/>
        </w:rPr>
        <w:t xml:space="preserve">nactive </w:t>
      </w:r>
      <w:r>
        <w:rPr>
          <w:rFonts w:hint="eastAsia"/>
          <w:b/>
          <w:bCs/>
          <w:szCs w:val="21"/>
          <w:lang w:val="en-US" w:eastAsia="zh-CN"/>
        </w:rPr>
        <w:t>m</w:t>
      </w:r>
      <w:r>
        <w:rPr>
          <w:rFonts w:hint="eastAsia"/>
          <w:b/>
          <w:bCs/>
          <w:szCs w:val="21"/>
        </w:rPr>
        <w:t>easurements</w:t>
      </w:r>
      <w:r>
        <w:rPr>
          <w:b/>
          <w:bCs/>
          <w:szCs w:val="21"/>
        </w:rPr>
        <w:t xml:space="preserve"> and </w:t>
      </w:r>
      <w:r>
        <w:rPr>
          <w:rFonts w:hint="eastAsia"/>
          <w:b/>
          <w:bCs/>
          <w:szCs w:val="21"/>
        </w:rPr>
        <w:t>RACH resource selection.</w:t>
      </w:r>
    </w:p>
    <w:p>
      <w:pPr>
        <w:spacing w:after="0" w:line="240" w:lineRule="auto"/>
        <w:ind w:left="1069" w:hanging="1069" w:hangingChars="507"/>
        <w:jc w:val="left"/>
        <w:rPr>
          <w:rFonts w:hint="eastAsia"/>
          <w:b/>
          <w:bCs/>
          <w:szCs w:val="21"/>
        </w:rPr>
      </w:pPr>
    </w:p>
    <w:p>
      <w:pPr>
        <w:keepNext/>
        <w:keepLines/>
        <w:widowControl/>
        <w:numPr>
          <w:ilvl w:val="1"/>
          <w:numId w:val="0"/>
        </w:numPr>
        <w:overflowPunct w:val="0"/>
        <w:autoSpaceDE w:val="0"/>
        <w:autoSpaceDN w:val="0"/>
        <w:adjustRightInd w:val="0"/>
        <w:spacing w:after="0" w:line="240" w:lineRule="auto"/>
        <w:jc w:val="left"/>
        <w:textAlignment w:val="baseline"/>
        <w:outlineLvl w:val="1"/>
        <w:rPr>
          <w:rFonts w:hint="eastAsia" w:ascii="Arial" w:hAnsi="Arial"/>
          <w:kern w:val="0"/>
          <w:sz w:val="24"/>
          <w:szCs w:val="32"/>
        </w:rPr>
      </w:pPr>
      <w:r>
        <w:rPr>
          <w:rFonts w:hint="eastAsia" w:ascii="Arial" w:hAnsi="Arial" w:eastAsia="MS Mincho"/>
          <w:kern w:val="0"/>
          <w:sz w:val="24"/>
          <w:szCs w:val="32"/>
        </w:rPr>
        <w:t>2.</w:t>
      </w:r>
      <w:r>
        <w:rPr>
          <w:rFonts w:hint="eastAsia" w:ascii="Arial" w:hAnsi="Arial" w:eastAsia="宋体"/>
          <w:kern w:val="0"/>
          <w:sz w:val="24"/>
          <w:szCs w:val="32"/>
          <w:lang w:val="en-US" w:eastAsia="zh-CN"/>
        </w:rPr>
        <w:t>2</w:t>
      </w:r>
      <w:r>
        <w:rPr>
          <w:rFonts w:hint="eastAsia" w:ascii="Arial" w:hAnsi="Arial" w:eastAsia="MS Mincho"/>
          <w:kern w:val="0"/>
          <w:sz w:val="24"/>
          <w:szCs w:val="32"/>
        </w:rPr>
        <w:t xml:space="preserve"> On height dependent measurement report configuration</w:t>
      </w:r>
    </w:p>
    <w:p>
      <w:pPr>
        <w:spacing w:after="0" w:line="240" w:lineRule="auto"/>
        <w:rPr>
          <w:szCs w:val="21"/>
        </w:rPr>
      </w:pPr>
      <w:r>
        <w:rPr>
          <w:szCs w:val="21"/>
        </w:rPr>
        <w:t>In last RAN2 meeting, it was agreed that:</w:t>
      </w:r>
    </w:p>
    <w:p>
      <w:pPr>
        <w:pStyle w:val="68"/>
        <w:pBdr>
          <w:top w:val="single" w:color="auto" w:sz="4" w:space="1"/>
          <w:left w:val="single" w:color="auto" w:sz="4" w:space="4"/>
          <w:bottom w:val="single" w:color="auto" w:sz="4" w:space="1"/>
          <w:right w:val="single" w:color="auto" w:sz="4" w:space="4"/>
        </w:pBdr>
        <w:snapToGrid w:val="0"/>
        <w:spacing w:after="0" w:line="240" w:lineRule="auto"/>
        <w:rPr>
          <w:rFonts w:ascii="Times New Roman" w:hAnsi="Times New Roman"/>
          <w:iCs/>
          <w:sz w:val="21"/>
          <w:szCs w:val="21"/>
        </w:rPr>
      </w:pPr>
      <w:r>
        <w:rPr>
          <w:rFonts w:ascii="Times New Roman" w:hAnsi="Times New Roman"/>
          <w:sz w:val="21"/>
          <w:szCs w:val="21"/>
        </w:rPr>
        <w:t>3.  For MR configuration parameters: at least the following will have ability to be configured with height-dependent more-than-one configurations/values, each for a specific height region: Event A4 threshold and numberoftriggeringcells.</w:t>
      </w:r>
      <w:r>
        <w:rPr>
          <w:rFonts w:ascii="Times New Roman" w:hAnsi="Times New Roman"/>
          <w:iCs/>
          <w:sz w:val="21"/>
          <w:szCs w:val="21"/>
        </w:rPr>
        <w:t xml:space="preserve">  </w:t>
      </w:r>
      <w:r>
        <w:rPr>
          <w:rFonts w:ascii="Times New Roman" w:hAnsi="Times New Roman"/>
          <w:iCs/>
          <w:sz w:val="21"/>
          <w:szCs w:val="21"/>
          <w:highlight w:val="cyan"/>
        </w:rPr>
        <w:t>Details on how to specify is FFS (i.e. maybe it can be achieved by combination of events).</w:t>
      </w:r>
      <w:r>
        <w:rPr>
          <w:rFonts w:ascii="Times New Roman" w:hAnsi="Times New Roman"/>
          <w:iCs/>
          <w:sz w:val="21"/>
          <w:szCs w:val="21"/>
        </w:rPr>
        <w:t xml:space="preserve">   </w:t>
      </w:r>
    </w:p>
    <w:p>
      <w:pPr>
        <w:spacing w:after="0" w:line="240" w:lineRule="auto"/>
        <w:rPr>
          <w:szCs w:val="21"/>
        </w:rPr>
      </w:pPr>
      <w:r>
        <w:rPr>
          <w:rFonts w:hint="eastAsia"/>
        </w:rPr>
        <w:t>Combination of events can reuse existing method as much as possible</w:t>
      </w:r>
      <w:r>
        <w:t xml:space="preserve"> and legacy measurement behavior of each event will not be changed. With this method, </w:t>
      </w:r>
      <w:r>
        <w:rPr>
          <w:szCs w:val="21"/>
        </w:rPr>
        <w:t xml:space="preserve">RAN2 don’t need to consider the impact of each height-dependent fields case by case. Further, we can reuse the method which is already introduced </w:t>
      </w:r>
      <w:r>
        <w:t xml:space="preserve">in conditional reconfiguration where </w:t>
      </w:r>
      <w:r>
        <w:rPr>
          <w:szCs w:val="21"/>
        </w:rPr>
        <w:t xml:space="preserve">execution condition can include two </w:t>
      </w:r>
      <w:r>
        <w:rPr>
          <w:i/>
          <w:iCs/>
          <w:szCs w:val="21"/>
        </w:rPr>
        <w:t>measIds</w:t>
      </w:r>
      <w:r>
        <w:rPr>
          <w:szCs w:val="21"/>
        </w:rPr>
        <w:t xml:space="preserve"> for two triggering conditions.</w:t>
      </w:r>
    </w:p>
    <w:p>
      <w:pPr>
        <w:spacing w:after="0" w:line="240" w:lineRule="auto"/>
        <w:rPr>
          <w:rFonts w:hint="eastAsia"/>
          <w:szCs w:val="21"/>
        </w:rPr>
      </w:pPr>
      <w:r>
        <w:rPr>
          <w:szCs w:val="21"/>
        </w:rPr>
        <w:t>On the other hand, it is more complicate to specify separate height-dependent fields/values in measurement report configuration. Taking numberOfTrigger</w:t>
      </w:r>
      <w:r>
        <w:rPr>
          <w:rFonts w:hint="eastAsia"/>
          <w:szCs w:val="21"/>
        </w:rPr>
        <w:t>ingCells</w:t>
      </w:r>
      <w:r>
        <w:rPr>
          <w:szCs w:val="21"/>
        </w:rPr>
        <w:t xml:space="preserve"> as example, we need to consider the UE behavior on whether remove current triggered cell list when numberOfTriggeringCells is changed.</w:t>
      </w:r>
    </w:p>
    <w:p>
      <w:pPr>
        <w:spacing w:after="0" w:line="240" w:lineRule="auto"/>
        <w:rPr>
          <w:rFonts w:hint="eastAsia"/>
          <w:b/>
          <w:szCs w:val="21"/>
        </w:rPr>
      </w:pPr>
      <w:r>
        <w:rPr>
          <w:b/>
          <w:szCs w:val="21"/>
        </w:rPr>
        <w:t>Observation 4: combination of events approach is much simpler in terms of specification impact.</w:t>
      </w:r>
    </w:p>
    <w:p>
      <w:pPr>
        <w:spacing w:after="0" w:line="240" w:lineRule="auto"/>
        <w:contextualSpacing/>
        <w:rPr>
          <w:rFonts w:eastAsia="宋体"/>
          <w:kern w:val="0"/>
          <w:sz w:val="24"/>
        </w:rPr>
      </w:pPr>
      <w:r>
        <w:t>During discussion in last RAN2 meeting, some companies had some concern on how to describe height range with combination of events. We think i</w:t>
      </w:r>
      <w:r>
        <w:rPr>
          <w:rFonts w:hint="eastAsia"/>
        </w:rPr>
        <w:t xml:space="preserve">t can be achieved by combining Ax event with H1 and H2 events respectively. For example, </w:t>
      </w:r>
      <w:r>
        <w:t>to combine</w:t>
      </w:r>
      <w:r>
        <w:rPr>
          <w:rFonts w:hint="eastAsia"/>
        </w:rPr>
        <w:t xml:space="preserve"> combination of event A4 </w:t>
      </w:r>
      <w:r>
        <w:t>and</w:t>
      </w:r>
      <w:r>
        <w:rPr>
          <w:rFonts w:hint="eastAsia"/>
        </w:rPr>
        <w:t xml:space="preserve"> event H1 </w:t>
      </w:r>
      <w:r>
        <w:t xml:space="preserve">with a lower height </w:t>
      </w:r>
      <w:r>
        <w:rPr>
          <w:rFonts w:hint="eastAsia"/>
        </w:rPr>
        <w:t>thresh</w:t>
      </w:r>
      <w:r>
        <w:t>old</w:t>
      </w:r>
      <w:r>
        <w:rPr>
          <w:rFonts w:hint="eastAsia"/>
        </w:rPr>
        <w:t xml:space="preserve">, and a combination of the same event A4 </w:t>
      </w:r>
      <w:r>
        <w:t>and</w:t>
      </w:r>
      <w:r>
        <w:rPr>
          <w:rFonts w:hint="eastAsia"/>
        </w:rPr>
        <w:t xml:space="preserve"> event H2 </w:t>
      </w:r>
      <w:r>
        <w:t xml:space="preserve">with a higher height </w:t>
      </w:r>
      <w:r>
        <w:rPr>
          <w:rFonts w:hint="eastAsia"/>
        </w:rPr>
        <w:t>threshold.</w:t>
      </w:r>
      <w:r>
        <w:t xml:space="preserve"> Thus, when UE ascend above the lower height threshold or descend below the higher height threshold, the same event A4 is applied.</w:t>
      </w:r>
    </w:p>
    <w:p>
      <w:pPr>
        <w:spacing w:after="0" w:line="240" w:lineRule="auto"/>
        <w:rPr>
          <w:rFonts w:hint="eastAsia"/>
          <w:b/>
        </w:rPr>
      </w:pPr>
      <w:r>
        <w:rPr>
          <w:b/>
        </w:rPr>
        <w:t>Observation 5: Association of event Ax with height range can be achieved by combination of event Ax with event H1 and combination of same event Ax with event H2.</w:t>
      </w:r>
    </w:p>
    <w:p>
      <w:pPr>
        <w:spacing w:after="0" w:line="240" w:lineRule="auto"/>
        <w:rPr>
          <w:rFonts w:hint="eastAsia"/>
        </w:rPr>
      </w:pPr>
      <w:r>
        <w:t>Based on observations above, we propose combination of events is used to achieve height-dependent report configuration.</w:t>
      </w:r>
    </w:p>
    <w:p>
      <w:pPr>
        <w:spacing w:after="0" w:line="240" w:lineRule="auto"/>
        <w:ind w:left="1069" w:hanging="1069" w:hangingChars="507"/>
        <w:jc w:val="left"/>
        <w:rPr>
          <w:b/>
          <w:bCs/>
          <w:szCs w:val="21"/>
        </w:rPr>
      </w:pPr>
      <w:r>
        <w:rPr>
          <w:rFonts w:hint="eastAsia"/>
          <w:b/>
          <w:bCs/>
          <w:szCs w:val="21"/>
        </w:rPr>
        <w:t xml:space="preserve">proposal </w:t>
      </w:r>
      <w:r>
        <w:rPr>
          <w:rFonts w:hint="eastAsia"/>
          <w:b/>
          <w:bCs/>
          <w:szCs w:val="21"/>
          <w:lang w:val="en-US" w:eastAsia="zh-CN"/>
        </w:rPr>
        <w:t>5</w:t>
      </w:r>
      <w:r>
        <w:rPr>
          <w:rFonts w:hint="eastAsia"/>
          <w:b/>
          <w:bCs/>
          <w:szCs w:val="21"/>
        </w:rPr>
        <w:t>: Height</w:t>
      </w:r>
      <w:r>
        <w:rPr>
          <w:b/>
          <w:bCs/>
          <w:szCs w:val="21"/>
        </w:rPr>
        <w:t>-</w:t>
      </w:r>
      <w:r>
        <w:rPr>
          <w:rFonts w:hint="eastAsia"/>
          <w:b/>
          <w:bCs/>
          <w:szCs w:val="21"/>
        </w:rPr>
        <w:t xml:space="preserve">depend report configuration is </w:t>
      </w:r>
      <w:r>
        <w:rPr>
          <w:b/>
          <w:bCs/>
          <w:szCs w:val="21"/>
        </w:rPr>
        <w:t>achieved</w:t>
      </w:r>
      <w:r>
        <w:rPr>
          <w:rFonts w:hint="eastAsia"/>
          <w:b/>
          <w:bCs/>
          <w:szCs w:val="21"/>
        </w:rPr>
        <w:t xml:space="preserve"> by combination </w:t>
      </w:r>
      <w:r>
        <w:rPr>
          <w:b/>
          <w:bCs/>
          <w:szCs w:val="21"/>
        </w:rPr>
        <w:t xml:space="preserve">of </w:t>
      </w:r>
      <w:r>
        <w:rPr>
          <w:rFonts w:hint="eastAsia"/>
          <w:b/>
          <w:bCs/>
          <w:szCs w:val="21"/>
        </w:rPr>
        <w:t>event H1/H2 and events</w:t>
      </w:r>
      <w:r>
        <w:rPr>
          <w:b/>
          <w:bCs/>
          <w:szCs w:val="21"/>
        </w:rPr>
        <w:t xml:space="preserve"> Ax</w:t>
      </w:r>
      <w:r>
        <w:rPr>
          <w:rFonts w:hint="eastAsia"/>
          <w:b/>
          <w:bCs/>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after="0" w:line="240" w:lineRule="auto"/>
        <w:ind w:left="1558" w:hanging="1551" w:hangingChars="739"/>
        <w:jc w:val="left"/>
        <w:rPr>
          <w:b w:val="0"/>
          <w:bCs w:val="0"/>
          <w:i/>
          <w:iCs/>
          <w:szCs w:val="21"/>
          <w:u w:val="single"/>
        </w:rPr>
      </w:pPr>
      <w:r>
        <w:rPr>
          <w:rFonts w:hint="eastAsia"/>
          <w:b w:val="0"/>
          <w:bCs w:val="0"/>
          <w:i/>
          <w:iCs/>
          <w:szCs w:val="21"/>
          <w:u w:val="single"/>
        </w:rPr>
        <w:t>On height-dependent SSB-ToMeasure</w:t>
      </w:r>
    </w:p>
    <w:p>
      <w:pPr>
        <w:spacing w:after="0" w:line="240" w:lineRule="auto"/>
        <w:ind w:left="1558" w:hanging="1558" w:hangingChars="739"/>
        <w:jc w:val="left"/>
        <w:rPr>
          <w:b/>
          <w:bCs/>
          <w:szCs w:val="21"/>
        </w:rPr>
      </w:pPr>
      <w:r>
        <w:rPr>
          <w:b/>
          <w:bCs/>
          <w:szCs w:val="21"/>
        </w:rPr>
        <w:t xml:space="preserve">Obaservation 1: If we model the change of SSB-ToMeasure as RRC </w:t>
      </w:r>
      <w:r>
        <w:rPr>
          <w:rFonts w:hint="eastAsia"/>
          <w:b/>
          <w:bCs/>
          <w:szCs w:val="21"/>
          <w:lang w:eastAsia="zh-CN"/>
        </w:rPr>
        <w:t>reconfiguration</w:t>
      </w:r>
      <w:r>
        <w:rPr>
          <w:b/>
          <w:bCs/>
          <w:szCs w:val="21"/>
        </w:rPr>
        <w:t>, following issues need to be addressed:</w:t>
      </w:r>
    </w:p>
    <w:p>
      <w:pPr>
        <w:snapToGrid w:val="0"/>
        <w:spacing w:after="0" w:line="240" w:lineRule="auto"/>
        <w:ind w:left="840" w:leftChars="400" w:firstLine="420"/>
        <w:rPr>
          <w:b/>
        </w:rPr>
      </w:pPr>
      <w:r>
        <w:rPr>
          <w:b/>
        </w:rPr>
        <w:t>-</w:t>
      </w:r>
      <w:r>
        <w:rPr>
          <w:b/>
        </w:rPr>
        <w:tab/>
      </w:r>
      <w:r>
        <w:rPr>
          <w:b/>
        </w:rPr>
        <w:t xml:space="preserve">Whether </w:t>
      </w:r>
      <w:r>
        <w:rPr>
          <w:rFonts w:hint="eastAsia"/>
          <w:b/>
          <w:bCs/>
          <w:lang w:val="en-US" w:eastAsia="zh-CN"/>
        </w:rPr>
        <w:t xml:space="preserve">to </w:t>
      </w:r>
      <w:r>
        <w:rPr>
          <w:rFonts w:hint="eastAsia"/>
          <w:b/>
          <w:bCs/>
        </w:rPr>
        <w:t xml:space="preserve">stop the periodical reporting timer or timer </w:t>
      </w:r>
      <w:r>
        <w:rPr>
          <w:b/>
          <w:bCs/>
        </w:rPr>
        <w:t>T321/T322</w:t>
      </w:r>
      <w:r>
        <w:rPr>
          <w:b/>
        </w:rPr>
        <w:t>.</w:t>
      </w:r>
    </w:p>
    <w:p>
      <w:pPr>
        <w:pStyle w:val="285"/>
        <w:ind w:left="1660" w:leftChars="600" w:hanging="400"/>
        <w:rPr>
          <w:b/>
        </w:rPr>
      </w:pPr>
      <w:r>
        <w:rPr>
          <w:b/>
        </w:rPr>
        <w:t>-</w:t>
      </w:r>
      <w:r>
        <w:rPr>
          <w:b/>
        </w:rPr>
        <w:tab/>
      </w:r>
      <w:r>
        <w:rPr>
          <w:b/>
        </w:rPr>
        <w:t xml:space="preserve">Whether </w:t>
      </w:r>
      <w:r>
        <w:rPr>
          <w:rFonts w:hint="eastAsia"/>
          <w:b/>
          <w:lang w:val="en-US" w:eastAsia="zh-CN"/>
        </w:rPr>
        <w:t xml:space="preserve">to reset </w:t>
      </w:r>
      <w:r>
        <w:rPr>
          <w:b/>
        </w:rPr>
        <w:t>numberOfReportsSent in VarMeas</w:t>
      </w:r>
      <w:r>
        <w:rPr>
          <w:rFonts w:hint="eastAsia"/>
          <w:b/>
        </w:rPr>
        <w:t>ReportList</w:t>
      </w:r>
      <w:r>
        <w:rPr>
          <w:b/>
        </w:rPr>
        <w:t>.</w:t>
      </w:r>
    </w:p>
    <w:p>
      <w:pPr>
        <w:pStyle w:val="285"/>
        <w:ind w:left="1660" w:leftChars="600" w:hanging="400"/>
        <w:rPr>
          <w:rFonts w:hint="eastAsia"/>
          <w:b/>
        </w:rPr>
      </w:pPr>
      <w:r>
        <w:rPr>
          <w:b/>
        </w:rPr>
        <w:t>-</w:t>
      </w:r>
      <w:r>
        <w:rPr>
          <w:b/>
        </w:rPr>
        <w:tab/>
      </w:r>
      <w:r>
        <w:rPr>
          <w:rFonts w:hint="eastAsia"/>
          <w:b/>
        </w:rPr>
        <w:t>Whether to reset the timeToTrigger, e.g. considering t</w:t>
      </w:r>
      <w:r>
        <w:rPr>
          <w:b/>
        </w:rPr>
        <w:t>he impact of reset of timeToTrigger on the measurement reporting delay</w:t>
      </w:r>
    </w:p>
    <w:p>
      <w:pPr>
        <w:spacing w:after="0" w:line="240" w:lineRule="auto"/>
        <w:ind w:left="1069" w:hanging="1069" w:hangingChars="507"/>
        <w:jc w:val="left"/>
        <w:rPr>
          <w:rFonts w:hint="eastAsia"/>
          <w:b/>
          <w:bCs/>
          <w:szCs w:val="21"/>
        </w:rPr>
      </w:pPr>
      <w:r>
        <w:rPr>
          <w:b/>
          <w:bCs/>
          <w:szCs w:val="21"/>
        </w:rPr>
        <w:t xml:space="preserve">Observation 2: The UE behavior on the change of beams used for cell level quality </w:t>
      </w:r>
      <w:r>
        <w:rPr>
          <w:rFonts w:hint="eastAsia"/>
          <w:b/>
          <w:bCs/>
          <w:szCs w:val="21"/>
          <w:lang w:eastAsia="zh-CN"/>
        </w:rPr>
        <w:t>derivation</w:t>
      </w:r>
      <w:r>
        <w:rPr>
          <w:b/>
          <w:bCs/>
          <w:szCs w:val="21"/>
        </w:rPr>
        <w:t xml:space="preserve"> is not specified.</w:t>
      </w:r>
    </w:p>
    <w:p>
      <w:pPr>
        <w:spacing w:after="0" w:line="240" w:lineRule="auto"/>
        <w:ind w:left="1069" w:hanging="1069" w:hangingChars="507"/>
        <w:jc w:val="left"/>
        <w:rPr>
          <w:b/>
          <w:bCs/>
          <w:szCs w:val="21"/>
        </w:rPr>
      </w:pPr>
      <w:r>
        <w:rPr>
          <w:b/>
          <w:bCs/>
          <w:szCs w:val="21"/>
        </w:rPr>
        <w:t>Observation 3: From L3 measurement point of view, the change of SSB-ToMeausre is similar to the change of beams used for cell level quality derivation, except for that UE starts or stops performing beam level measurement on some beams when applying new SSB-ToMeasure.</w:t>
      </w:r>
    </w:p>
    <w:p>
      <w:pPr>
        <w:spacing w:after="0" w:line="240" w:lineRule="auto"/>
        <w:rPr>
          <w:b/>
        </w:rPr>
      </w:pPr>
    </w:p>
    <w:p>
      <w:pPr>
        <w:spacing w:after="0" w:line="240" w:lineRule="auto"/>
        <w:ind w:left="1069" w:hanging="1069" w:hangingChars="507"/>
        <w:jc w:val="left"/>
        <w:rPr>
          <w:b/>
          <w:bCs/>
          <w:szCs w:val="21"/>
        </w:rPr>
      </w:pPr>
      <w:r>
        <w:rPr>
          <w:b/>
          <w:bCs/>
          <w:szCs w:val="21"/>
        </w:rPr>
        <w:t xml:space="preserve">Proposal </w:t>
      </w:r>
      <w:r>
        <w:rPr>
          <w:rFonts w:hint="eastAsia"/>
          <w:b/>
          <w:bCs/>
          <w:szCs w:val="21"/>
          <w:lang w:val="en-US" w:eastAsia="zh-CN"/>
        </w:rPr>
        <w:t>1</w:t>
      </w:r>
      <w:r>
        <w:rPr>
          <w:b/>
          <w:bCs/>
          <w:szCs w:val="21"/>
        </w:rPr>
        <w:t>: The height-dependent SSB-ToMeasure is defined by including an ToAdd</w:t>
      </w:r>
      <w:r>
        <w:rPr>
          <w:rFonts w:hint="eastAsia"/>
          <w:b/>
          <w:bCs/>
          <w:szCs w:val="21"/>
        </w:rPr>
        <w:t>M</w:t>
      </w:r>
      <w:r>
        <w:rPr>
          <w:b/>
          <w:bCs/>
          <w:szCs w:val="21"/>
        </w:rPr>
        <w:t xml:space="preserve">od list of non-overlapping height-regions and </w:t>
      </w:r>
      <w:r>
        <w:rPr>
          <w:rFonts w:hint="eastAsia"/>
          <w:b/>
          <w:bCs/>
          <w:szCs w:val="21"/>
          <w:lang w:eastAsia="zh-CN"/>
        </w:rPr>
        <w:t>associated</w:t>
      </w:r>
      <w:r>
        <w:rPr>
          <w:b/>
          <w:bCs/>
          <w:szCs w:val="21"/>
        </w:rPr>
        <w:t xml:space="preserve"> SSB-ToMeasure, a </w:t>
      </w:r>
      <w:r>
        <w:rPr>
          <w:rFonts w:hint="eastAsia"/>
          <w:b/>
          <w:bCs/>
          <w:szCs w:val="21"/>
        </w:rPr>
        <w:t>T</w:t>
      </w:r>
      <w:r>
        <w:rPr>
          <w:b/>
          <w:bCs/>
          <w:szCs w:val="21"/>
        </w:rPr>
        <w:t>o</w:t>
      </w:r>
      <w:r>
        <w:rPr>
          <w:rFonts w:hint="eastAsia"/>
          <w:b/>
          <w:bCs/>
          <w:szCs w:val="21"/>
        </w:rPr>
        <w:t>Remove</w:t>
      </w:r>
      <w:r>
        <w:rPr>
          <w:b/>
          <w:bCs/>
          <w:szCs w:val="21"/>
        </w:rPr>
        <w:t xml:space="preserve"> list, and a hysteresis in </w:t>
      </w:r>
      <w:r>
        <w:rPr>
          <w:b/>
          <w:bCs/>
          <w:i/>
          <w:szCs w:val="21"/>
        </w:rPr>
        <w:t>MeasObjectNR.</w:t>
      </w:r>
    </w:p>
    <w:p>
      <w:pPr>
        <w:spacing w:after="0" w:line="240" w:lineRule="auto"/>
        <w:ind w:left="1069" w:hanging="1069" w:hangingChars="507"/>
        <w:jc w:val="left"/>
        <w:rPr>
          <w:b/>
          <w:bCs/>
          <w:szCs w:val="21"/>
        </w:rPr>
      </w:pPr>
      <w:r>
        <w:rPr>
          <w:b/>
          <w:bCs/>
          <w:szCs w:val="21"/>
        </w:rPr>
        <w:t xml:space="preserve">Proposal </w:t>
      </w:r>
      <w:r>
        <w:rPr>
          <w:rFonts w:hint="eastAsia"/>
          <w:b/>
          <w:bCs/>
          <w:szCs w:val="21"/>
          <w:lang w:val="en-US" w:eastAsia="zh-CN"/>
        </w:rPr>
        <w:t>2</w:t>
      </w:r>
      <w:r>
        <w:rPr>
          <w:b/>
          <w:bCs/>
          <w:szCs w:val="21"/>
        </w:rPr>
        <w:t>: The only impact on L3 measurement is to capture in the SSB-ToMeasure field description that the UE applies the SSB-ToMeasure when it is in associated height-region.</w:t>
      </w:r>
    </w:p>
    <w:p>
      <w:pPr>
        <w:spacing w:after="0" w:line="240" w:lineRule="auto"/>
        <w:ind w:left="1069" w:hanging="1069" w:hangingChars="507"/>
        <w:jc w:val="left"/>
        <w:rPr>
          <w:b/>
          <w:bCs/>
          <w:szCs w:val="21"/>
        </w:rPr>
      </w:pPr>
      <w:r>
        <w:rPr>
          <w:rFonts w:hint="eastAsia"/>
          <w:b/>
          <w:bCs/>
          <w:szCs w:val="21"/>
        </w:rPr>
        <w:t xml:space="preserve">Proposal </w:t>
      </w:r>
      <w:r>
        <w:rPr>
          <w:rFonts w:hint="eastAsia"/>
          <w:b/>
          <w:bCs/>
          <w:szCs w:val="21"/>
          <w:lang w:val="en-US" w:eastAsia="zh-CN"/>
        </w:rPr>
        <w:t>3</w:t>
      </w:r>
      <w:r>
        <w:rPr>
          <w:rFonts w:hint="eastAsia"/>
          <w:b/>
          <w:bCs/>
          <w:szCs w:val="21"/>
        </w:rPr>
        <w:t xml:space="preserve">: </w:t>
      </w:r>
      <w:r>
        <w:rPr>
          <w:b/>
          <w:bCs/>
          <w:szCs w:val="21"/>
        </w:rPr>
        <w:t xml:space="preserve">As a </w:t>
      </w:r>
      <w:r>
        <w:rPr>
          <w:rFonts w:hint="eastAsia"/>
          <w:b/>
          <w:bCs/>
          <w:szCs w:val="21"/>
          <w:lang w:eastAsia="zh-CN"/>
        </w:rPr>
        <w:t>basic</w:t>
      </w:r>
      <w:r>
        <w:rPr>
          <w:b/>
          <w:bCs/>
          <w:szCs w:val="21"/>
        </w:rPr>
        <w:t xml:space="preserve"> principle, i</w:t>
      </w:r>
      <w:r>
        <w:rPr>
          <w:rFonts w:hint="eastAsia"/>
          <w:b/>
          <w:bCs/>
          <w:szCs w:val="21"/>
        </w:rPr>
        <w:t xml:space="preserve">f no height-specific SSB-ToMeasure </w:t>
      </w:r>
      <w:r>
        <w:rPr>
          <w:b/>
          <w:bCs/>
          <w:szCs w:val="21"/>
        </w:rPr>
        <w:t xml:space="preserve">is </w:t>
      </w:r>
      <w:r>
        <w:rPr>
          <w:rFonts w:hint="eastAsia"/>
          <w:b/>
          <w:bCs/>
          <w:szCs w:val="21"/>
        </w:rPr>
        <w:t>configured for a specific height region, the legacy SSB-ToMeasure is applied.</w:t>
      </w:r>
    </w:p>
    <w:p>
      <w:pPr>
        <w:spacing w:after="0" w:line="240" w:lineRule="auto"/>
        <w:ind w:left="1069" w:hanging="1069" w:hangingChars="507"/>
        <w:jc w:val="left"/>
        <w:rPr>
          <w:rFonts w:hint="eastAsia"/>
          <w:b/>
          <w:bCs/>
          <w:szCs w:val="21"/>
        </w:rPr>
      </w:pPr>
      <w:r>
        <w:rPr>
          <w:rFonts w:hint="eastAsia"/>
          <w:b/>
          <w:bCs/>
          <w:szCs w:val="21"/>
        </w:rPr>
        <w:t>Proposal</w:t>
      </w:r>
      <w:r>
        <w:rPr>
          <w:b/>
          <w:bCs/>
          <w:szCs w:val="21"/>
        </w:rPr>
        <w:t xml:space="preserve"> </w:t>
      </w:r>
      <w:r>
        <w:rPr>
          <w:rFonts w:hint="eastAsia"/>
          <w:b/>
          <w:bCs/>
          <w:szCs w:val="21"/>
          <w:lang w:val="en-US" w:eastAsia="zh-CN"/>
        </w:rPr>
        <w:t>4</w:t>
      </w:r>
      <w:r>
        <w:rPr>
          <w:rFonts w:hint="eastAsia"/>
          <w:b/>
          <w:bCs/>
          <w:szCs w:val="21"/>
        </w:rPr>
        <w:t xml:space="preserve">: To extend height-dependent SSB-ToMeasure to RRM measurement for cell </w:t>
      </w:r>
      <w:r>
        <w:rPr>
          <w:rFonts w:hint="eastAsia"/>
          <w:b/>
          <w:bCs/>
          <w:szCs w:val="21"/>
          <w:lang w:eastAsia="zh-CN"/>
        </w:rPr>
        <w:t>re-selection</w:t>
      </w:r>
      <w:r>
        <w:rPr>
          <w:rFonts w:hint="eastAsia"/>
          <w:b/>
          <w:bCs/>
          <w:szCs w:val="21"/>
          <w:lang w:val="en-US" w:eastAsia="zh-CN"/>
        </w:rPr>
        <w:t xml:space="preserve">, </w:t>
      </w:r>
      <w:r>
        <w:rPr>
          <w:rFonts w:hint="eastAsia"/>
          <w:b/>
          <w:bCs/>
          <w:szCs w:val="21"/>
        </w:rPr>
        <w:t>Idle/</w:t>
      </w:r>
      <w:r>
        <w:rPr>
          <w:rFonts w:hint="eastAsia"/>
          <w:b/>
          <w:bCs/>
          <w:szCs w:val="21"/>
          <w:lang w:eastAsia="zh-CN"/>
        </w:rPr>
        <w:t>I</w:t>
      </w:r>
      <w:r>
        <w:rPr>
          <w:rFonts w:hint="eastAsia"/>
          <w:b/>
          <w:bCs/>
          <w:szCs w:val="21"/>
        </w:rPr>
        <w:t xml:space="preserve">nactive </w:t>
      </w:r>
      <w:r>
        <w:rPr>
          <w:rFonts w:hint="eastAsia"/>
          <w:b/>
          <w:bCs/>
          <w:szCs w:val="21"/>
          <w:lang w:val="en-US" w:eastAsia="zh-CN"/>
        </w:rPr>
        <w:t>m</w:t>
      </w:r>
      <w:r>
        <w:rPr>
          <w:rFonts w:hint="eastAsia"/>
          <w:b/>
          <w:bCs/>
          <w:szCs w:val="21"/>
        </w:rPr>
        <w:t>easurements</w:t>
      </w:r>
      <w:r>
        <w:rPr>
          <w:b/>
          <w:bCs/>
          <w:szCs w:val="21"/>
        </w:rPr>
        <w:t xml:space="preserve"> and </w:t>
      </w:r>
      <w:r>
        <w:rPr>
          <w:rFonts w:hint="eastAsia"/>
          <w:b/>
          <w:bCs/>
          <w:szCs w:val="21"/>
        </w:rPr>
        <w:t>RACH resource selection.</w:t>
      </w:r>
    </w:p>
    <w:p>
      <w:pPr>
        <w:spacing w:after="0" w:line="240" w:lineRule="auto"/>
        <w:ind w:left="1069" w:hanging="1069" w:hangingChars="507"/>
        <w:jc w:val="left"/>
        <w:rPr>
          <w:rFonts w:hint="eastAsia"/>
          <w:b/>
          <w:bCs/>
          <w:szCs w:val="21"/>
        </w:rPr>
      </w:pPr>
    </w:p>
    <w:p>
      <w:pPr>
        <w:spacing w:after="0" w:line="240" w:lineRule="auto"/>
        <w:ind w:left="1558" w:hanging="1551" w:hangingChars="739"/>
        <w:jc w:val="left"/>
        <w:rPr>
          <w:rFonts w:hint="eastAsia"/>
          <w:b w:val="0"/>
          <w:bCs w:val="0"/>
          <w:i/>
          <w:iCs/>
          <w:szCs w:val="21"/>
          <w:u w:val="single"/>
        </w:rPr>
      </w:pPr>
      <w:r>
        <w:rPr>
          <w:rFonts w:hint="eastAsia"/>
          <w:b w:val="0"/>
          <w:bCs w:val="0"/>
          <w:i/>
          <w:iCs/>
          <w:szCs w:val="21"/>
          <w:u w:val="single"/>
        </w:rPr>
        <w:t>On height dependent measurement report configuration</w:t>
      </w:r>
    </w:p>
    <w:p>
      <w:pPr>
        <w:spacing w:after="0" w:line="240" w:lineRule="auto"/>
        <w:rPr>
          <w:rFonts w:hint="eastAsia"/>
          <w:b/>
          <w:szCs w:val="21"/>
        </w:rPr>
      </w:pPr>
      <w:r>
        <w:rPr>
          <w:b/>
          <w:szCs w:val="21"/>
        </w:rPr>
        <w:t>Observation 4: combination of events approach is much simpler in terms of specification impact.</w:t>
      </w:r>
    </w:p>
    <w:p>
      <w:pPr>
        <w:spacing w:after="0" w:line="240" w:lineRule="auto"/>
        <w:rPr>
          <w:b/>
        </w:rPr>
      </w:pPr>
      <w:r>
        <w:rPr>
          <w:b/>
        </w:rPr>
        <w:t>Observation 5: Association of event Ax with height range can be achieved by combination of event Ax with event H1 and combination of same event Ax with event H2.</w:t>
      </w:r>
    </w:p>
    <w:p>
      <w:pPr>
        <w:spacing w:after="0" w:line="240" w:lineRule="auto"/>
        <w:ind w:left="1069" w:hanging="1069" w:hangingChars="507"/>
        <w:jc w:val="left"/>
        <w:rPr>
          <w:rFonts w:hint="eastAsia"/>
          <w:b/>
          <w:bCs/>
          <w:szCs w:val="21"/>
        </w:rPr>
      </w:pPr>
    </w:p>
    <w:p>
      <w:pPr>
        <w:spacing w:after="0" w:line="240" w:lineRule="auto"/>
        <w:ind w:left="1069" w:hanging="1069" w:hangingChars="507"/>
        <w:jc w:val="left"/>
        <w:rPr>
          <w:i/>
          <w:iCs/>
        </w:rPr>
      </w:pPr>
      <w:r>
        <w:rPr>
          <w:rFonts w:hint="eastAsia"/>
          <w:b/>
          <w:bCs/>
          <w:szCs w:val="21"/>
        </w:rPr>
        <w:t xml:space="preserve">proposal </w:t>
      </w:r>
      <w:r>
        <w:rPr>
          <w:rFonts w:hint="eastAsia"/>
          <w:b/>
          <w:bCs/>
          <w:szCs w:val="21"/>
          <w:lang w:val="en-US" w:eastAsia="zh-CN"/>
        </w:rPr>
        <w:t>5</w:t>
      </w:r>
      <w:r>
        <w:rPr>
          <w:rFonts w:hint="eastAsia"/>
          <w:b/>
          <w:bCs/>
          <w:szCs w:val="21"/>
        </w:rPr>
        <w:t>: Height</w:t>
      </w:r>
      <w:r>
        <w:rPr>
          <w:b/>
          <w:bCs/>
          <w:szCs w:val="21"/>
        </w:rPr>
        <w:t>-</w:t>
      </w:r>
      <w:r>
        <w:rPr>
          <w:rFonts w:hint="eastAsia"/>
          <w:b/>
          <w:bCs/>
          <w:szCs w:val="21"/>
        </w:rPr>
        <w:t xml:space="preserve">depend report configuration is </w:t>
      </w:r>
      <w:r>
        <w:rPr>
          <w:b/>
          <w:bCs/>
          <w:szCs w:val="21"/>
        </w:rPr>
        <w:t>achieved</w:t>
      </w:r>
      <w:r>
        <w:rPr>
          <w:rFonts w:hint="eastAsia"/>
          <w:b/>
          <w:bCs/>
          <w:szCs w:val="21"/>
        </w:rPr>
        <w:t xml:space="preserve"> by combination </w:t>
      </w:r>
      <w:r>
        <w:rPr>
          <w:b/>
          <w:bCs/>
          <w:szCs w:val="21"/>
        </w:rPr>
        <w:t xml:space="preserve">of </w:t>
      </w:r>
      <w:r>
        <w:rPr>
          <w:rFonts w:hint="eastAsia"/>
          <w:b/>
          <w:bCs/>
          <w:szCs w:val="21"/>
        </w:rPr>
        <w:t>even</w:t>
      </w:r>
      <w:bookmarkStart w:id="5" w:name="_GoBack"/>
      <w:bookmarkEnd w:id="5"/>
      <w:r>
        <w:rPr>
          <w:rFonts w:hint="eastAsia"/>
          <w:b/>
          <w:bCs/>
          <w:szCs w:val="21"/>
        </w:rPr>
        <w:t>t H1/H2 and events</w:t>
      </w:r>
      <w:r>
        <w:rPr>
          <w:b/>
          <w:bCs/>
          <w:szCs w:val="21"/>
        </w:rPr>
        <w:t xml:space="preserve"> Ax</w:t>
      </w:r>
      <w:r>
        <w:rPr>
          <w:rFonts w:hint="eastAsia"/>
          <w:b/>
          <w:bCs/>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overflowPunct w:val="0"/>
        <w:autoSpaceDE w:val="0"/>
        <w:autoSpaceDN w:val="0"/>
        <w:adjustRightInd w:val="0"/>
        <w:spacing w:after="120" w:line="240" w:lineRule="auto"/>
        <w:textAlignment w:val="baseline"/>
      </w:pPr>
      <w:r>
        <w:rPr>
          <w:rFonts w:hint="eastAsia"/>
        </w:rPr>
        <w:t>RAN2#121-bis chairman notes</w:t>
      </w:r>
    </w:p>
    <w:sectPr>
      <w:pgSz w:w="11906" w:h="16838"/>
      <w:pgMar w:top="1417" w:right="1416"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F0F417"/>
    <w:multiLevelType w:val="singleLevel"/>
    <w:tmpl w:val="B3F0F417"/>
    <w:lvl w:ilvl="0" w:tentative="0">
      <w:start w:val="1"/>
      <w:numFmt w:val="bullet"/>
      <w:lvlText w:val=""/>
      <w:lvlJc w:val="left"/>
      <w:pPr>
        <w:ind w:left="420" w:hanging="420"/>
      </w:pPr>
      <w:rPr>
        <w:rFonts w:hint="default" w:ascii="Wingdings" w:hAnsi="Wingdings"/>
      </w:rPr>
    </w:lvl>
  </w:abstractNum>
  <w:abstractNum w:abstractNumId="1">
    <w:nsid w:val="F53D17AE"/>
    <w:multiLevelType w:val="multilevel"/>
    <w:tmpl w:val="F53D17A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A350073"/>
    <w:multiLevelType w:val="multilevel"/>
    <w:tmpl w:val="2A350073"/>
    <w:lvl w:ilvl="0" w:tentative="0">
      <w:start w:val="5"/>
      <w:numFmt w:val="decimal"/>
      <w:lvlText w:val="%1."/>
      <w:lvlJc w:val="left"/>
      <w:pPr>
        <w:ind w:left="1979" w:hanging="360"/>
      </w:pPr>
      <w:rPr>
        <w:rFonts w:hint="default"/>
      </w:rPr>
    </w:lvl>
    <w:lvl w:ilvl="1" w:tentative="0">
      <w:start w:val="1"/>
      <w:numFmt w:val="lowerLetter"/>
      <w:lvlText w:val="%2)"/>
      <w:lvlJc w:val="left"/>
      <w:pPr>
        <w:ind w:left="2459" w:hanging="420"/>
      </w:pPr>
    </w:lvl>
    <w:lvl w:ilvl="2" w:tentative="0">
      <w:start w:val="1"/>
      <w:numFmt w:val="lowerRoman"/>
      <w:lvlText w:val="%3."/>
      <w:lvlJc w:val="right"/>
      <w:pPr>
        <w:ind w:left="2879" w:hanging="420"/>
      </w:pPr>
    </w:lvl>
    <w:lvl w:ilvl="3" w:tentative="0">
      <w:start w:val="1"/>
      <w:numFmt w:val="decimal"/>
      <w:lvlText w:val="%4."/>
      <w:lvlJc w:val="left"/>
      <w:pPr>
        <w:ind w:left="3299" w:hanging="420"/>
      </w:pPr>
    </w:lvl>
    <w:lvl w:ilvl="4" w:tentative="0">
      <w:start w:val="1"/>
      <w:numFmt w:val="lowerLetter"/>
      <w:lvlText w:val="%5)"/>
      <w:lvlJc w:val="left"/>
      <w:pPr>
        <w:ind w:left="3719" w:hanging="420"/>
      </w:pPr>
    </w:lvl>
    <w:lvl w:ilvl="5" w:tentative="0">
      <w:start w:val="1"/>
      <w:numFmt w:val="lowerRoman"/>
      <w:lvlText w:val="%6."/>
      <w:lvlJc w:val="right"/>
      <w:pPr>
        <w:ind w:left="4139" w:hanging="420"/>
      </w:pPr>
    </w:lvl>
    <w:lvl w:ilvl="6" w:tentative="0">
      <w:start w:val="1"/>
      <w:numFmt w:val="decimal"/>
      <w:lvlText w:val="%7."/>
      <w:lvlJc w:val="left"/>
      <w:pPr>
        <w:ind w:left="4559" w:hanging="420"/>
      </w:pPr>
    </w:lvl>
    <w:lvl w:ilvl="7" w:tentative="0">
      <w:start w:val="1"/>
      <w:numFmt w:val="lowerLetter"/>
      <w:lvlText w:val="%8)"/>
      <w:lvlJc w:val="left"/>
      <w:pPr>
        <w:ind w:left="4979" w:hanging="420"/>
      </w:pPr>
    </w:lvl>
    <w:lvl w:ilvl="8" w:tentative="0">
      <w:start w:val="1"/>
      <w:numFmt w:val="lowerRoman"/>
      <w:lvlText w:val="%9."/>
      <w:lvlJc w:val="right"/>
      <w:pPr>
        <w:ind w:left="5399" w:hanging="420"/>
      </w:p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96D56AB"/>
    <w:multiLevelType w:val="multilevel"/>
    <w:tmpl w:val="396D56A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3"/>
  </w:num>
  <w:num w:numId="4">
    <w:abstractNumId w:val="6"/>
  </w:num>
  <w:num w:numId="5">
    <w:abstractNumId w:val="1"/>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273F1"/>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850"/>
    <w:rsid w:val="000E1993"/>
    <w:rsid w:val="000E3B8A"/>
    <w:rsid w:val="000F0A7B"/>
    <w:rsid w:val="000F32E2"/>
    <w:rsid w:val="00100030"/>
    <w:rsid w:val="00105872"/>
    <w:rsid w:val="00111C96"/>
    <w:rsid w:val="00111CE0"/>
    <w:rsid w:val="00111DF0"/>
    <w:rsid w:val="001128B8"/>
    <w:rsid w:val="001135C5"/>
    <w:rsid w:val="001147C0"/>
    <w:rsid w:val="00117E6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77974"/>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97AF3"/>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EA5"/>
    <w:rsid w:val="001E0341"/>
    <w:rsid w:val="001E1C36"/>
    <w:rsid w:val="001E25FD"/>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406E"/>
    <w:rsid w:val="00297A88"/>
    <w:rsid w:val="002B22C6"/>
    <w:rsid w:val="002B24A3"/>
    <w:rsid w:val="002B2BBC"/>
    <w:rsid w:val="002B351B"/>
    <w:rsid w:val="002B3B5D"/>
    <w:rsid w:val="002B3C48"/>
    <w:rsid w:val="002B3D8F"/>
    <w:rsid w:val="002B434C"/>
    <w:rsid w:val="002B4F1D"/>
    <w:rsid w:val="002C0864"/>
    <w:rsid w:val="002C0F12"/>
    <w:rsid w:val="002C2EBF"/>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EE4"/>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CEF"/>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326"/>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C5690"/>
    <w:rsid w:val="003D01E0"/>
    <w:rsid w:val="003D0EF8"/>
    <w:rsid w:val="003D0F37"/>
    <w:rsid w:val="003D1324"/>
    <w:rsid w:val="003D1455"/>
    <w:rsid w:val="003D2B72"/>
    <w:rsid w:val="003D42C7"/>
    <w:rsid w:val="003D74F3"/>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B59"/>
    <w:rsid w:val="00482BBB"/>
    <w:rsid w:val="00485114"/>
    <w:rsid w:val="00485670"/>
    <w:rsid w:val="00485AE4"/>
    <w:rsid w:val="00486111"/>
    <w:rsid w:val="00487905"/>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067A"/>
    <w:rsid w:val="004F10CA"/>
    <w:rsid w:val="004F4675"/>
    <w:rsid w:val="004F557E"/>
    <w:rsid w:val="00501570"/>
    <w:rsid w:val="005017DA"/>
    <w:rsid w:val="0050411A"/>
    <w:rsid w:val="0050619E"/>
    <w:rsid w:val="00506680"/>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164D"/>
    <w:rsid w:val="00552EBE"/>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77D15"/>
    <w:rsid w:val="005842C1"/>
    <w:rsid w:val="00585E04"/>
    <w:rsid w:val="005910DD"/>
    <w:rsid w:val="00593F48"/>
    <w:rsid w:val="005940C1"/>
    <w:rsid w:val="0059566C"/>
    <w:rsid w:val="0059585E"/>
    <w:rsid w:val="00597952"/>
    <w:rsid w:val="005A05A3"/>
    <w:rsid w:val="005A3156"/>
    <w:rsid w:val="005A4048"/>
    <w:rsid w:val="005A53DF"/>
    <w:rsid w:val="005A6185"/>
    <w:rsid w:val="005B052E"/>
    <w:rsid w:val="005B220B"/>
    <w:rsid w:val="005B2E19"/>
    <w:rsid w:val="005B66D2"/>
    <w:rsid w:val="005B72AF"/>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6AED"/>
    <w:rsid w:val="006408DC"/>
    <w:rsid w:val="006413AD"/>
    <w:rsid w:val="00643A7A"/>
    <w:rsid w:val="0064545A"/>
    <w:rsid w:val="006503F8"/>
    <w:rsid w:val="00650D0F"/>
    <w:rsid w:val="00651856"/>
    <w:rsid w:val="00652024"/>
    <w:rsid w:val="006521E7"/>
    <w:rsid w:val="00655018"/>
    <w:rsid w:val="0065579F"/>
    <w:rsid w:val="0066451F"/>
    <w:rsid w:val="006702E2"/>
    <w:rsid w:val="00670351"/>
    <w:rsid w:val="006706AA"/>
    <w:rsid w:val="006718B7"/>
    <w:rsid w:val="00673154"/>
    <w:rsid w:val="00674597"/>
    <w:rsid w:val="006746B2"/>
    <w:rsid w:val="0067540D"/>
    <w:rsid w:val="0068365D"/>
    <w:rsid w:val="0068430C"/>
    <w:rsid w:val="00685237"/>
    <w:rsid w:val="00687C0B"/>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6E63"/>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3CF3"/>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E55"/>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6E87"/>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3273"/>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14B"/>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165F"/>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0A9E"/>
    <w:rsid w:val="00A31A13"/>
    <w:rsid w:val="00A323D7"/>
    <w:rsid w:val="00A32701"/>
    <w:rsid w:val="00A330EB"/>
    <w:rsid w:val="00A334CC"/>
    <w:rsid w:val="00A42BBE"/>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760E3"/>
    <w:rsid w:val="00A81A3A"/>
    <w:rsid w:val="00A82FB8"/>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214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39D"/>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656A"/>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571D"/>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72815"/>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C39"/>
    <w:rsid w:val="00D56F3F"/>
    <w:rsid w:val="00D576EB"/>
    <w:rsid w:val="00D61F13"/>
    <w:rsid w:val="00D66C7F"/>
    <w:rsid w:val="00D672D6"/>
    <w:rsid w:val="00D67D4A"/>
    <w:rsid w:val="00D70B9D"/>
    <w:rsid w:val="00D72B46"/>
    <w:rsid w:val="00D74055"/>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D7880"/>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77036"/>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5D5"/>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1C39"/>
    <w:rsid w:val="00FA34B5"/>
    <w:rsid w:val="00FA5942"/>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712F2"/>
    <w:rsid w:val="02E968F1"/>
    <w:rsid w:val="0310429F"/>
    <w:rsid w:val="03130048"/>
    <w:rsid w:val="03202434"/>
    <w:rsid w:val="03204437"/>
    <w:rsid w:val="032C42D8"/>
    <w:rsid w:val="033E499A"/>
    <w:rsid w:val="0347521D"/>
    <w:rsid w:val="035A5498"/>
    <w:rsid w:val="035B5483"/>
    <w:rsid w:val="03685A69"/>
    <w:rsid w:val="036C3B3B"/>
    <w:rsid w:val="037175E3"/>
    <w:rsid w:val="03857386"/>
    <w:rsid w:val="03892EFE"/>
    <w:rsid w:val="03994D1D"/>
    <w:rsid w:val="039A2405"/>
    <w:rsid w:val="039A4F82"/>
    <w:rsid w:val="039A7700"/>
    <w:rsid w:val="03A13B95"/>
    <w:rsid w:val="03A74E48"/>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D6866"/>
    <w:rsid w:val="04167747"/>
    <w:rsid w:val="041C2081"/>
    <w:rsid w:val="042320E4"/>
    <w:rsid w:val="043373F7"/>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4A02C8"/>
    <w:rsid w:val="07505A8A"/>
    <w:rsid w:val="075926F1"/>
    <w:rsid w:val="07625AB8"/>
    <w:rsid w:val="07722969"/>
    <w:rsid w:val="078158EA"/>
    <w:rsid w:val="07843668"/>
    <w:rsid w:val="07847AEC"/>
    <w:rsid w:val="079368A6"/>
    <w:rsid w:val="07965C3F"/>
    <w:rsid w:val="079C5E01"/>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E003FA"/>
    <w:rsid w:val="0AF957A7"/>
    <w:rsid w:val="0AFB4824"/>
    <w:rsid w:val="0B104C80"/>
    <w:rsid w:val="0B1537E9"/>
    <w:rsid w:val="0B1B0258"/>
    <w:rsid w:val="0B1D1E17"/>
    <w:rsid w:val="0B2F5449"/>
    <w:rsid w:val="0B3A6177"/>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C22B12"/>
    <w:rsid w:val="12D86D99"/>
    <w:rsid w:val="12EC625A"/>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8B6ED6"/>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E56A6A"/>
    <w:rsid w:val="1DF61D54"/>
    <w:rsid w:val="1DFD1A78"/>
    <w:rsid w:val="1DFD5D66"/>
    <w:rsid w:val="1E1C0F23"/>
    <w:rsid w:val="1E1D3350"/>
    <w:rsid w:val="1E2D3856"/>
    <w:rsid w:val="1E2E6394"/>
    <w:rsid w:val="1E3C2C1F"/>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11BFE"/>
    <w:rsid w:val="1F1E5DB2"/>
    <w:rsid w:val="1F293665"/>
    <w:rsid w:val="1F2D7AB7"/>
    <w:rsid w:val="1F31093A"/>
    <w:rsid w:val="1F3C203A"/>
    <w:rsid w:val="1F4154A3"/>
    <w:rsid w:val="1F495793"/>
    <w:rsid w:val="1F4F31D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547AB"/>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16ECD"/>
    <w:rsid w:val="24A46A37"/>
    <w:rsid w:val="24AF0F0C"/>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C0921"/>
    <w:rsid w:val="2D4D14E6"/>
    <w:rsid w:val="2D4E4D0B"/>
    <w:rsid w:val="2D5145BB"/>
    <w:rsid w:val="2D7322FD"/>
    <w:rsid w:val="2D7406B9"/>
    <w:rsid w:val="2D7E5AB6"/>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EB2C6B"/>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A674B"/>
    <w:rsid w:val="320E75A5"/>
    <w:rsid w:val="32186538"/>
    <w:rsid w:val="3221030E"/>
    <w:rsid w:val="32267A64"/>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401DC"/>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A7F5B"/>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71F47"/>
    <w:rsid w:val="3D1A706D"/>
    <w:rsid w:val="3D1E69C8"/>
    <w:rsid w:val="3D216871"/>
    <w:rsid w:val="3D244471"/>
    <w:rsid w:val="3D3B1B30"/>
    <w:rsid w:val="3D4C08A0"/>
    <w:rsid w:val="3D4D4F31"/>
    <w:rsid w:val="3D5305FD"/>
    <w:rsid w:val="3D5B4F5D"/>
    <w:rsid w:val="3D5F34BD"/>
    <w:rsid w:val="3D6B33E8"/>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DC278B"/>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51DCF"/>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0F5CB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797B"/>
    <w:rsid w:val="484A5559"/>
    <w:rsid w:val="485974B8"/>
    <w:rsid w:val="485A507F"/>
    <w:rsid w:val="486E3D48"/>
    <w:rsid w:val="48723A44"/>
    <w:rsid w:val="487E02E7"/>
    <w:rsid w:val="48A067FF"/>
    <w:rsid w:val="48A26C6C"/>
    <w:rsid w:val="48A614FD"/>
    <w:rsid w:val="48AA6E8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F2B7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231A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91D69"/>
    <w:rsid w:val="524C1ED0"/>
    <w:rsid w:val="5252693E"/>
    <w:rsid w:val="525B21B3"/>
    <w:rsid w:val="5288723F"/>
    <w:rsid w:val="529D62AB"/>
    <w:rsid w:val="529F4D3D"/>
    <w:rsid w:val="52A764C0"/>
    <w:rsid w:val="52A77E20"/>
    <w:rsid w:val="52AA1D5D"/>
    <w:rsid w:val="52AA5BC1"/>
    <w:rsid w:val="52B27CEE"/>
    <w:rsid w:val="52C716E5"/>
    <w:rsid w:val="52C73CB6"/>
    <w:rsid w:val="52CC2515"/>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564BA3"/>
    <w:rsid w:val="54591CC2"/>
    <w:rsid w:val="545A23E4"/>
    <w:rsid w:val="545D2A76"/>
    <w:rsid w:val="5476101E"/>
    <w:rsid w:val="547C69F2"/>
    <w:rsid w:val="548352CB"/>
    <w:rsid w:val="548B782B"/>
    <w:rsid w:val="548B79F3"/>
    <w:rsid w:val="54900F96"/>
    <w:rsid w:val="54990495"/>
    <w:rsid w:val="54A12B05"/>
    <w:rsid w:val="54AE498A"/>
    <w:rsid w:val="54B56EED"/>
    <w:rsid w:val="54D509EC"/>
    <w:rsid w:val="54D73DC0"/>
    <w:rsid w:val="54D94CB6"/>
    <w:rsid w:val="54DB3A57"/>
    <w:rsid w:val="54E812AC"/>
    <w:rsid w:val="54EA5084"/>
    <w:rsid w:val="54EC4FC7"/>
    <w:rsid w:val="55093E22"/>
    <w:rsid w:val="553266E7"/>
    <w:rsid w:val="553413DD"/>
    <w:rsid w:val="55367F4D"/>
    <w:rsid w:val="55376110"/>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D4C13"/>
    <w:rsid w:val="55FE6BE4"/>
    <w:rsid w:val="56053523"/>
    <w:rsid w:val="560839E5"/>
    <w:rsid w:val="560A2D1E"/>
    <w:rsid w:val="561B3DC0"/>
    <w:rsid w:val="56211BC6"/>
    <w:rsid w:val="563252A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156A4"/>
    <w:rsid w:val="5A082B87"/>
    <w:rsid w:val="5A0C31B3"/>
    <w:rsid w:val="5A0D6A16"/>
    <w:rsid w:val="5A13713E"/>
    <w:rsid w:val="5A280787"/>
    <w:rsid w:val="5A2B68D2"/>
    <w:rsid w:val="5A2C67A3"/>
    <w:rsid w:val="5A2F6ABD"/>
    <w:rsid w:val="5A3E4B03"/>
    <w:rsid w:val="5A415650"/>
    <w:rsid w:val="5A507CF4"/>
    <w:rsid w:val="5A5105C3"/>
    <w:rsid w:val="5A58463C"/>
    <w:rsid w:val="5A591C8B"/>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53297"/>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CE283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5C4014"/>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321FB"/>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695A3D"/>
    <w:rsid w:val="667E1BDC"/>
    <w:rsid w:val="66843C27"/>
    <w:rsid w:val="668A358B"/>
    <w:rsid w:val="669D0A84"/>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50316"/>
    <w:rsid w:val="67F8136D"/>
    <w:rsid w:val="67FD5E3A"/>
    <w:rsid w:val="680B3317"/>
    <w:rsid w:val="6810413D"/>
    <w:rsid w:val="682C3322"/>
    <w:rsid w:val="683407D5"/>
    <w:rsid w:val="683F785C"/>
    <w:rsid w:val="68570DC2"/>
    <w:rsid w:val="6865768E"/>
    <w:rsid w:val="6868422B"/>
    <w:rsid w:val="6870626F"/>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9F105B9"/>
    <w:rsid w:val="6A041549"/>
    <w:rsid w:val="6A062314"/>
    <w:rsid w:val="6A062F06"/>
    <w:rsid w:val="6A07169A"/>
    <w:rsid w:val="6A071E00"/>
    <w:rsid w:val="6A0F026D"/>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B2151"/>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A507D"/>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5144F5"/>
    <w:rsid w:val="6F652332"/>
    <w:rsid w:val="6F6B6565"/>
    <w:rsid w:val="6F721BEC"/>
    <w:rsid w:val="6F7826CF"/>
    <w:rsid w:val="6F87584E"/>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528A6"/>
    <w:rsid w:val="70FF1E43"/>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7193B"/>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E65968"/>
    <w:rsid w:val="71F723E8"/>
    <w:rsid w:val="7202528F"/>
    <w:rsid w:val="72196F07"/>
    <w:rsid w:val="721C71DD"/>
    <w:rsid w:val="72317074"/>
    <w:rsid w:val="723472E2"/>
    <w:rsid w:val="72357F64"/>
    <w:rsid w:val="72365637"/>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B04B7"/>
    <w:rsid w:val="7F0E419C"/>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8"/>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01545-CB58-4314-B26E-15F61277701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3518</Words>
  <Characters>20055</Characters>
  <Lines>167</Lines>
  <Paragraphs>47</Paragraphs>
  <TotalTime>1</TotalTime>
  <ScaleCrop>false</ScaleCrop>
  <LinksUpToDate>false</LinksUpToDate>
  <CharactersWithSpaces>23526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RAN2#121bis-e</cp:lastModifiedBy>
  <cp:lastPrinted>2113-01-01T00:00:00Z</cp:lastPrinted>
  <dcterms:modified xsi:type="dcterms:W3CDTF">2023-05-12T09:25:10Z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054E95B701C74B4C92F2F87C461DBFAE</vt:lpwstr>
  </property>
</Properties>
</file>